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763E" w14:textId="77777777" w:rsidR="00584EAD" w:rsidRPr="00E3520F" w:rsidRDefault="00584EAD" w:rsidP="00677B21">
      <w:pPr>
        <w:pStyle w:val="Titel"/>
        <w:spacing w:before="0" w:afterLines="200" w:after="480"/>
        <w:rPr>
          <w:lang w:val="en-GB"/>
        </w:rPr>
      </w:pPr>
      <w:r w:rsidRPr="00E3520F">
        <w:rPr>
          <w:bCs/>
          <w:lang w:val="en-GB"/>
        </w:rPr>
        <w:t>Press Release</w:t>
      </w:r>
    </w:p>
    <w:p w14:paraId="69CB763F" w14:textId="57319074" w:rsidR="00BC4F56" w:rsidRPr="00E3520F" w:rsidRDefault="00BD5E81" w:rsidP="00BC4F56">
      <w:pPr>
        <w:pStyle w:val="berschrift2"/>
        <w:rPr>
          <w:lang w:val="en-GB"/>
        </w:rPr>
      </w:pPr>
      <w:r w:rsidRPr="00E3520F">
        <w:rPr>
          <w:lang w:val="en-GB"/>
        </w:rPr>
        <w:t xml:space="preserve">Koenig &amp; Bauer is targeting </w:t>
      </w:r>
      <w:r w:rsidR="00CA42A2" w:rsidRPr="00E3520F">
        <w:rPr>
          <w:lang w:val="en-GB"/>
        </w:rPr>
        <w:t>g</w:t>
      </w:r>
      <w:r w:rsidR="00A44634" w:rsidRPr="00E3520F">
        <w:rPr>
          <w:lang w:val="en-GB"/>
        </w:rPr>
        <w:t xml:space="preserve">roup revenue of </w:t>
      </w:r>
      <w:r w:rsidR="00FE03A2">
        <w:rPr>
          <w:lang w:val="en-GB"/>
        </w:rPr>
        <w:t xml:space="preserve">around </w:t>
      </w:r>
      <w:r w:rsidR="00A44634" w:rsidRPr="00E3520F">
        <w:rPr>
          <w:lang w:val="en-GB"/>
        </w:rPr>
        <w:t xml:space="preserve">€1.5bn </w:t>
      </w:r>
      <w:r w:rsidR="00F43164">
        <w:rPr>
          <w:lang w:val="en-GB"/>
        </w:rPr>
        <w:br/>
      </w:r>
      <w:r w:rsidRPr="00E3520F">
        <w:rPr>
          <w:lang w:val="en-GB"/>
        </w:rPr>
        <w:t>with</w:t>
      </w:r>
      <w:r w:rsidR="00A44634" w:rsidRPr="00E3520F">
        <w:rPr>
          <w:lang w:val="en-GB"/>
        </w:rPr>
        <w:t xml:space="preserve"> EBIT margin of </w:t>
      </w:r>
      <w:r w:rsidR="00FE03A2">
        <w:rPr>
          <w:lang w:val="en-GB"/>
        </w:rPr>
        <w:t xml:space="preserve">between </w:t>
      </w:r>
      <w:r w:rsidR="00A44634" w:rsidRPr="00E3520F">
        <w:rPr>
          <w:lang w:val="en-GB"/>
        </w:rPr>
        <w:t>7</w:t>
      </w:r>
      <w:r w:rsidR="00FE03A2">
        <w:rPr>
          <w:lang w:val="en-GB"/>
        </w:rPr>
        <w:t>% and 1</w:t>
      </w:r>
      <w:r w:rsidR="00A44634" w:rsidRPr="00E3520F">
        <w:rPr>
          <w:lang w:val="en-GB"/>
        </w:rPr>
        <w:t xml:space="preserve">0% </w:t>
      </w:r>
      <w:r w:rsidR="00FE03A2">
        <w:rPr>
          <w:lang w:val="en-GB"/>
        </w:rPr>
        <w:t>until</w:t>
      </w:r>
      <w:r w:rsidR="00A44634" w:rsidRPr="00E3520F">
        <w:rPr>
          <w:lang w:val="en-GB"/>
        </w:rPr>
        <w:t xml:space="preserve"> 2023</w:t>
      </w:r>
    </w:p>
    <w:p w14:paraId="69CB7640" w14:textId="77777777" w:rsidR="00BC4F56" w:rsidRPr="00E3520F" w:rsidRDefault="00BC4F56" w:rsidP="00BC4F56">
      <w:pPr>
        <w:spacing w:after="240"/>
        <w:rPr>
          <w:lang w:val="en-GB"/>
        </w:rPr>
      </w:pPr>
    </w:p>
    <w:p w14:paraId="69CB7641" w14:textId="2B440D49" w:rsidR="00BC4F56" w:rsidRPr="00E3520F" w:rsidRDefault="00BD5E81" w:rsidP="00BC4F56">
      <w:pPr>
        <w:pStyle w:val="Untertitel"/>
        <w:spacing w:after="240"/>
        <w:rPr>
          <w:sz w:val="24"/>
          <w:szCs w:val="24"/>
          <w:lang w:val="en-GB"/>
        </w:rPr>
      </w:pPr>
      <w:r w:rsidRPr="00E3520F">
        <w:rPr>
          <w:sz w:val="24"/>
          <w:szCs w:val="24"/>
          <w:lang w:val="en-GB"/>
        </w:rPr>
        <w:t>A strong future</w:t>
      </w:r>
      <w:r w:rsidR="005404BD" w:rsidRPr="00E3520F">
        <w:rPr>
          <w:sz w:val="24"/>
          <w:szCs w:val="24"/>
          <w:lang w:val="en-GB"/>
        </w:rPr>
        <w:t xml:space="preserve"> through systematic focus on growth markets</w:t>
      </w:r>
    </w:p>
    <w:p w14:paraId="69CB7642" w14:textId="0B9A7F2E" w:rsidR="00A44634" w:rsidRPr="00E3520F" w:rsidRDefault="00A44634" w:rsidP="00A44634">
      <w:pPr>
        <w:pStyle w:val="Aufzhlung"/>
        <w:spacing w:after="240"/>
        <w:rPr>
          <w:lang w:val="en-GB"/>
        </w:rPr>
      </w:pPr>
      <w:r w:rsidRPr="00E3520F">
        <w:rPr>
          <w:lang w:val="en-GB"/>
        </w:rPr>
        <w:t xml:space="preserve">Highest EBIT in the </w:t>
      </w:r>
      <w:r w:rsidR="00CA42A2" w:rsidRPr="00E3520F">
        <w:rPr>
          <w:lang w:val="en-GB"/>
        </w:rPr>
        <w:t>c</w:t>
      </w:r>
      <w:r w:rsidRPr="00E3520F">
        <w:rPr>
          <w:lang w:val="en-GB"/>
        </w:rPr>
        <w:t>ompany’s 201-year history</w:t>
      </w:r>
    </w:p>
    <w:p w14:paraId="69CB7643" w14:textId="504BECA9" w:rsidR="00A44634" w:rsidRPr="00FE03A2" w:rsidRDefault="00A44634" w:rsidP="00A44634">
      <w:pPr>
        <w:pStyle w:val="Aufzhlung"/>
        <w:spacing w:after="240"/>
        <w:rPr>
          <w:szCs w:val="20"/>
          <w:lang w:val="en-GB"/>
        </w:rPr>
      </w:pPr>
      <w:r w:rsidRPr="00FE03A2">
        <w:rPr>
          <w:szCs w:val="20"/>
          <w:lang w:val="en-GB"/>
        </w:rPr>
        <w:t xml:space="preserve">7.1% EBIT margin </w:t>
      </w:r>
      <w:r w:rsidR="00CA42A2" w:rsidRPr="00FE03A2">
        <w:rPr>
          <w:rFonts w:ascii="Arial" w:hAnsi="Arial" w:cs="Arial"/>
          <w:color w:val="000000"/>
          <w:szCs w:val="20"/>
          <w:lang w:val="en-GB"/>
        </w:rPr>
        <w:t>substantially surpassing the mean for the German engineering sector</w:t>
      </w:r>
    </w:p>
    <w:p w14:paraId="69CB7644" w14:textId="31CB3EAC" w:rsidR="00A44634" w:rsidRPr="00E3520F" w:rsidRDefault="00A44634" w:rsidP="00A44634">
      <w:pPr>
        <w:pStyle w:val="Aufzhlung"/>
        <w:spacing w:after="240"/>
        <w:rPr>
          <w:szCs w:val="20"/>
          <w:lang w:val="en-GB"/>
        </w:rPr>
      </w:pPr>
      <w:r w:rsidRPr="00E3520F">
        <w:rPr>
          <w:szCs w:val="20"/>
          <w:lang w:val="en-GB"/>
        </w:rPr>
        <w:t xml:space="preserve">Revenue </w:t>
      </w:r>
      <w:r w:rsidR="00CA42A2" w:rsidRPr="00E3520F">
        <w:rPr>
          <w:szCs w:val="20"/>
          <w:lang w:val="en-GB"/>
        </w:rPr>
        <w:t xml:space="preserve">in 2018 </w:t>
      </w:r>
      <w:r w:rsidR="00CA42A2" w:rsidRPr="00E3520F">
        <w:rPr>
          <w:rFonts w:ascii="Arial" w:hAnsi="Arial" w:cs="Arial"/>
          <w:szCs w:val="20"/>
          <w:lang w:val="en-GB"/>
        </w:rPr>
        <w:t>limited by parts availability</w:t>
      </w:r>
    </w:p>
    <w:p w14:paraId="69CB7645" w14:textId="77777777" w:rsidR="00A44634" w:rsidRPr="00E3520F" w:rsidRDefault="00A44634" w:rsidP="00A44634">
      <w:pPr>
        <w:pStyle w:val="Aufzhlung"/>
        <w:spacing w:after="240"/>
        <w:rPr>
          <w:lang w:val="en-GB"/>
        </w:rPr>
      </w:pPr>
      <w:r w:rsidRPr="00E3520F">
        <w:rPr>
          <w:lang w:val="en-GB"/>
        </w:rPr>
        <w:t>Good order situation</w:t>
      </w:r>
    </w:p>
    <w:p w14:paraId="69CB7646" w14:textId="550E1F9A" w:rsidR="00A44634" w:rsidRPr="00E3520F" w:rsidRDefault="00A44634" w:rsidP="00A44634">
      <w:pPr>
        <w:pStyle w:val="Aufzhlung"/>
        <w:spacing w:after="240"/>
        <w:rPr>
          <w:lang w:val="en-GB"/>
        </w:rPr>
      </w:pPr>
      <w:r w:rsidRPr="00E3520F">
        <w:rPr>
          <w:lang w:val="en-GB"/>
        </w:rPr>
        <w:t>Strong cash flow</w:t>
      </w:r>
      <w:r w:rsidR="00CA42A2" w:rsidRPr="00E3520F">
        <w:rPr>
          <w:lang w:val="en-GB"/>
        </w:rPr>
        <w:t>s</w:t>
      </w:r>
      <w:r w:rsidRPr="00E3520F">
        <w:rPr>
          <w:lang w:val="en-GB"/>
        </w:rPr>
        <w:t xml:space="preserve"> from operating activities</w:t>
      </w:r>
    </w:p>
    <w:p w14:paraId="69CB7647" w14:textId="24452AD6" w:rsidR="00A44634" w:rsidRPr="00E3520F" w:rsidRDefault="00A44634" w:rsidP="00A44634">
      <w:pPr>
        <w:pStyle w:val="Aufzhlung"/>
        <w:spacing w:after="240"/>
        <w:rPr>
          <w:lang w:val="en-GB"/>
        </w:rPr>
      </w:pPr>
      <w:r w:rsidRPr="00E3520F">
        <w:rPr>
          <w:lang w:val="en-GB"/>
        </w:rPr>
        <w:t>Equity ratio of 38.</w:t>
      </w:r>
      <w:r w:rsidR="00CA42A2" w:rsidRPr="00E3520F">
        <w:rPr>
          <w:lang w:val="en-GB"/>
        </w:rPr>
        <w:t>5</w:t>
      </w:r>
      <w:r w:rsidRPr="00E3520F">
        <w:rPr>
          <w:lang w:val="en-GB"/>
        </w:rPr>
        <w:t>%</w:t>
      </w:r>
    </w:p>
    <w:p w14:paraId="69CB7648" w14:textId="66C6BEAA" w:rsidR="00A44634" w:rsidRPr="00E3520F" w:rsidRDefault="00CA42A2" w:rsidP="00A44634">
      <w:pPr>
        <w:pStyle w:val="Aufzhlung"/>
        <w:spacing w:after="240"/>
        <w:rPr>
          <w:lang w:val="en-GB"/>
        </w:rPr>
      </w:pPr>
      <w:r w:rsidRPr="00E3520F">
        <w:rPr>
          <w:lang w:val="en-GB"/>
        </w:rPr>
        <w:t>2.7% dividend yield with h</w:t>
      </w:r>
      <w:r w:rsidR="00A44634" w:rsidRPr="00E3520F">
        <w:rPr>
          <w:lang w:val="en-GB"/>
        </w:rPr>
        <w:t>igher proposed dividend of €1 per share</w:t>
      </w:r>
    </w:p>
    <w:p w14:paraId="69CB7649" w14:textId="3EAEFE51" w:rsidR="00584EAD" w:rsidRPr="00E3520F" w:rsidRDefault="00FE03A2" w:rsidP="00A44634">
      <w:pPr>
        <w:pStyle w:val="Aufzhlung"/>
        <w:spacing w:after="240"/>
        <w:rPr>
          <w:lang w:val="en-GB"/>
        </w:rPr>
      </w:pPr>
      <w:r>
        <w:rPr>
          <w:rFonts w:ascii="Arial" w:hAnsi="Arial" w:cs="Arial"/>
          <w:lang w:val="en-GB"/>
        </w:rPr>
        <w:t>Guidance</w:t>
      </w:r>
      <w:r w:rsidR="00CA42A2" w:rsidRPr="00E3520F">
        <w:rPr>
          <w:rFonts w:ascii="Arial" w:hAnsi="Arial" w:cs="Arial"/>
          <w:lang w:val="en-GB"/>
        </w:rPr>
        <w:t xml:space="preserve"> for 2019: organic revenue growth of up to 4% and EBIT margin of around 6%</w:t>
      </w:r>
    </w:p>
    <w:p w14:paraId="69CB764A" w14:textId="72714817" w:rsidR="00A44634" w:rsidRPr="00E3520F" w:rsidRDefault="00A44634" w:rsidP="00A44634">
      <w:pPr>
        <w:spacing w:after="240"/>
        <w:rPr>
          <w:szCs w:val="20"/>
          <w:lang w:val="en-GB"/>
        </w:rPr>
      </w:pPr>
      <w:r w:rsidRPr="00E3520F">
        <w:rPr>
          <w:lang w:val="en-GB"/>
        </w:rPr>
        <w:t>Würzburg, 21 March 2019</w:t>
      </w:r>
      <w:r w:rsidRPr="00E3520F">
        <w:rPr>
          <w:lang w:val="en-GB"/>
        </w:rPr>
        <w:br/>
      </w:r>
      <w:r w:rsidRPr="00E3520F">
        <w:rPr>
          <w:szCs w:val="20"/>
          <w:lang w:val="en-GB"/>
        </w:rPr>
        <w:t>With the progress achieved in the structurally growing and l</w:t>
      </w:r>
      <w:r w:rsidR="00702235" w:rsidRPr="00E3520F">
        <w:rPr>
          <w:szCs w:val="20"/>
          <w:lang w:val="en-GB"/>
        </w:rPr>
        <w:t>ess cyclical packaging printing</w:t>
      </w:r>
      <w:r w:rsidRPr="00E3520F">
        <w:rPr>
          <w:szCs w:val="20"/>
          <w:lang w:val="en-GB"/>
        </w:rPr>
        <w:t xml:space="preserve">, the Koenig &amp; Bauer </w:t>
      </w:r>
      <w:r w:rsidR="00930388">
        <w:rPr>
          <w:szCs w:val="20"/>
          <w:lang w:val="en-GB"/>
        </w:rPr>
        <w:t>g</w:t>
      </w:r>
      <w:r w:rsidRPr="00E3520F">
        <w:rPr>
          <w:szCs w:val="20"/>
          <w:lang w:val="en-GB"/>
        </w:rPr>
        <w:t xml:space="preserve">roup made further advances in its </w:t>
      </w:r>
      <w:r w:rsidR="00702235" w:rsidRPr="00E3520F">
        <w:rPr>
          <w:rFonts w:ascii="Arial" w:hAnsi="Arial" w:cs="Arial"/>
          <w:szCs w:val="20"/>
          <w:lang w:val="en-GB"/>
        </w:rPr>
        <w:t xml:space="preserve">strategically aligning </w:t>
      </w:r>
      <w:r w:rsidRPr="00E3520F">
        <w:rPr>
          <w:szCs w:val="20"/>
          <w:lang w:val="en-GB"/>
        </w:rPr>
        <w:t xml:space="preserve">towards sustainable profitable growth. CEO Claus Bolza-Schünemann: “Driven by a record order intake, we have been able to widen our share of the global flexible packaging printing market to 9%. Revenue in marking and coding has risen by around 50% in the last three years. Since the acquisition of flatbed </w:t>
      </w:r>
      <w:r w:rsidR="00702235" w:rsidRPr="00E3520F">
        <w:rPr>
          <w:szCs w:val="20"/>
          <w:lang w:val="en-GB"/>
        </w:rPr>
        <w:t>die-</w:t>
      </w:r>
      <w:r w:rsidRPr="00E3520F">
        <w:rPr>
          <w:szCs w:val="20"/>
          <w:lang w:val="en-GB"/>
        </w:rPr>
        <w:t xml:space="preserve">cutter business in 2016, revenue in this </w:t>
      </w:r>
      <w:r w:rsidR="00F43164">
        <w:rPr>
          <w:szCs w:val="20"/>
          <w:lang w:val="en-GB"/>
        </w:rPr>
        <w:t>business field</w:t>
      </w:r>
      <w:r w:rsidRPr="00E3520F">
        <w:rPr>
          <w:szCs w:val="20"/>
          <w:lang w:val="en-GB"/>
        </w:rPr>
        <w:t xml:space="preserve"> has climbed by more than 50%. </w:t>
      </w:r>
      <w:r w:rsidR="00702235" w:rsidRPr="00E3520F">
        <w:rPr>
          <w:rFonts w:ascii="Arial" w:hAnsi="Arial" w:cs="Arial"/>
          <w:szCs w:val="20"/>
          <w:lang w:val="en-GB"/>
        </w:rPr>
        <w:t>The entry into the market for folder gluers and the planned joint venture with inkjet pioneer Durst for folding carton and corrugated printing are further milestones</w:t>
      </w:r>
      <w:r w:rsidRPr="00E3520F">
        <w:rPr>
          <w:szCs w:val="20"/>
          <w:lang w:val="en-GB"/>
        </w:rPr>
        <w:t>.” CFO Mathias Dähn: “</w:t>
      </w:r>
      <w:r w:rsidR="00702235" w:rsidRPr="00E3520F">
        <w:rPr>
          <w:rFonts w:ascii="Arial" w:hAnsi="Arial" w:cs="Arial"/>
          <w:szCs w:val="20"/>
          <w:lang w:val="en-GB"/>
        </w:rPr>
        <w:t>Pleasing revenue and earnings potential can arise with our RotaJET digital printing platform for decor and flexible packaging printing following a greater substitution of the hitherto standard analogue printing processes and an increase in the internally-sourced production of decoration papers in the furniture and flooring industry. After a comprehensive evaluation process, the renowned packaging group Tetra Pak has opted for our large-format RotaJET for full-colour digital printing of beverage carton packaging. We have received two more RotaJET orders for digital decor printing.</w:t>
      </w:r>
      <w:r w:rsidRPr="00E3520F">
        <w:rPr>
          <w:szCs w:val="20"/>
          <w:lang w:val="en-GB"/>
        </w:rPr>
        <w:t>”</w:t>
      </w:r>
    </w:p>
    <w:p w14:paraId="69CB764B" w14:textId="14F227B6" w:rsidR="00A44634" w:rsidRPr="00E3520F" w:rsidRDefault="00A44634" w:rsidP="00A44634">
      <w:pPr>
        <w:pStyle w:val="berschrift3"/>
        <w:rPr>
          <w:lang w:val="en-GB"/>
        </w:rPr>
      </w:pPr>
      <w:r w:rsidRPr="00E3520F">
        <w:rPr>
          <w:bCs/>
          <w:lang w:val="en-GB"/>
        </w:rPr>
        <w:t xml:space="preserve">Earnings target for 2018 </w:t>
      </w:r>
      <w:r w:rsidR="00702235" w:rsidRPr="00E3520F">
        <w:rPr>
          <w:bCs/>
          <w:lang w:val="en-GB"/>
        </w:rPr>
        <w:t>well</w:t>
      </w:r>
      <w:r w:rsidRPr="00E3520F">
        <w:rPr>
          <w:bCs/>
          <w:lang w:val="en-GB"/>
        </w:rPr>
        <w:t xml:space="preserve"> achieved</w:t>
      </w:r>
    </w:p>
    <w:p w14:paraId="69CB764C" w14:textId="39E421B5" w:rsidR="00A44634" w:rsidRPr="00E3520F" w:rsidRDefault="00A44634" w:rsidP="00A44634">
      <w:pPr>
        <w:spacing w:after="240"/>
        <w:rPr>
          <w:szCs w:val="20"/>
          <w:lang w:val="en-GB"/>
        </w:rPr>
      </w:pPr>
      <w:r w:rsidRPr="00E3520F">
        <w:rPr>
          <w:szCs w:val="20"/>
          <w:lang w:val="en-GB"/>
        </w:rPr>
        <w:t xml:space="preserve">Group EBIT climbed from €81.4m in the previous year to €87.4m </w:t>
      </w:r>
      <w:r w:rsidR="00006489" w:rsidRPr="00E3520F">
        <w:rPr>
          <w:rFonts w:ascii="Arial" w:hAnsi="Arial" w:cs="Arial"/>
          <w:color w:val="000000"/>
          <w:szCs w:val="20"/>
          <w:lang w:val="en-GB"/>
        </w:rPr>
        <w:t>despite some adverse circumstances in the availability of parts and market conditions</w:t>
      </w:r>
      <w:r w:rsidRPr="00E3520F">
        <w:rPr>
          <w:szCs w:val="20"/>
          <w:lang w:val="en-GB"/>
        </w:rPr>
        <w:t>.</w:t>
      </w:r>
      <w:r w:rsidRPr="00E3520F">
        <w:rPr>
          <w:lang w:val="en-GB"/>
        </w:rPr>
        <w:t xml:space="preserve"> With the increase in its EBIT margin from 6.7% to 7.1%, Koenig &amp; Bauer achieved the target defined for 2018 of around 7%. CFO Mathias Dähn: “</w:t>
      </w:r>
      <w:r w:rsidR="00006489" w:rsidRPr="00E3520F">
        <w:rPr>
          <w:rFonts w:ascii="Arial" w:hAnsi="Arial" w:cs="Arial"/>
          <w:szCs w:val="20"/>
          <w:lang w:val="en-GB"/>
        </w:rPr>
        <w:t xml:space="preserve">On the basis of an EBIT margin adjusted for special items of 5.4% in 2016, we are aiming for an annual improvement of 0.7% in this margin to around 9% by 2021 assuming linear execution of the </w:t>
      </w:r>
      <w:r w:rsidR="00F43164">
        <w:rPr>
          <w:rFonts w:ascii="Arial" w:hAnsi="Arial" w:cs="Arial"/>
          <w:szCs w:val="20"/>
          <w:lang w:val="en-GB"/>
        </w:rPr>
        <w:t xml:space="preserve">group </w:t>
      </w:r>
      <w:bookmarkStart w:id="0" w:name="_GoBack"/>
      <w:bookmarkEnd w:id="0"/>
      <w:r w:rsidR="00006489" w:rsidRPr="00E3520F">
        <w:rPr>
          <w:rFonts w:ascii="Arial" w:hAnsi="Arial" w:cs="Arial"/>
          <w:szCs w:val="20"/>
          <w:lang w:val="en-GB"/>
        </w:rPr>
        <w:t>project</w:t>
      </w:r>
      <w:r w:rsidR="00F43164">
        <w:rPr>
          <w:rFonts w:ascii="Arial" w:hAnsi="Arial" w:cs="Arial"/>
          <w:szCs w:val="20"/>
          <w:lang w:val="en-GB"/>
        </w:rPr>
        <w:t>s for boosting earnings by €70m</w:t>
      </w:r>
      <w:r w:rsidR="00006489" w:rsidRPr="00E3520F">
        <w:rPr>
          <w:rFonts w:ascii="Arial" w:hAnsi="Arial" w:cs="Arial"/>
          <w:szCs w:val="20"/>
          <w:lang w:val="en-GB"/>
        </w:rPr>
        <w:t>. This translates into a target of 6.8% for 2018, which we exceeded substantially with a margin of 7.1%.</w:t>
      </w:r>
      <w:r w:rsidR="00D51D4F">
        <w:rPr>
          <w:szCs w:val="20"/>
          <w:lang w:val="en-GB"/>
        </w:rPr>
        <w:t>”</w:t>
      </w:r>
    </w:p>
    <w:p w14:paraId="69CB764D" w14:textId="77777777" w:rsidR="00A44634" w:rsidRPr="00E3520F" w:rsidRDefault="00A44634" w:rsidP="00A44634">
      <w:pPr>
        <w:pStyle w:val="berschrift3"/>
        <w:rPr>
          <w:lang w:val="en-GB"/>
        </w:rPr>
      </w:pPr>
      <w:r w:rsidRPr="00E3520F">
        <w:rPr>
          <w:bCs/>
          <w:lang w:val="en-GB"/>
        </w:rPr>
        <w:t>High order backlog</w:t>
      </w:r>
    </w:p>
    <w:p w14:paraId="69CB764E" w14:textId="76BD7B50" w:rsidR="00A44634" w:rsidRPr="00E3520F" w:rsidRDefault="00006489" w:rsidP="00A44634">
      <w:pPr>
        <w:spacing w:after="240"/>
        <w:rPr>
          <w:lang w:val="en-GB"/>
        </w:rPr>
      </w:pPr>
      <w:r w:rsidRPr="00E3520F">
        <w:rPr>
          <w:rFonts w:ascii="Arial" w:hAnsi="Arial" w:cs="Arial"/>
          <w:color w:val="000000"/>
          <w:szCs w:val="20"/>
          <w:lang w:val="en-GB"/>
        </w:rPr>
        <w:t xml:space="preserve">The previously announced shifts of machine deliveries into 2019 as a result of bottlenecks </w:t>
      </w:r>
      <w:r w:rsidRPr="00E3520F">
        <w:rPr>
          <w:rFonts w:ascii="Arial" w:hAnsi="Arial" w:cs="Arial"/>
          <w:szCs w:val="20"/>
          <w:lang w:val="en-GB"/>
        </w:rPr>
        <w:t>in the parts availability</w:t>
      </w:r>
      <w:r w:rsidRPr="00E3520F">
        <w:rPr>
          <w:rFonts w:ascii="Arial" w:hAnsi="Arial" w:cs="Arial"/>
          <w:color w:val="000000"/>
          <w:szCs w:val="20"/>
          <w:lang w:val="en-GB"/>
        </w:rPr>
        <w:t xml:space="preserve"> burdened the achievement of our revenue target. At €1,226</w:t>
      </w:r>
      <w:r w:rsidR="00930388">
        <w:rPr>
          <w:rFonts w:ascii="Arial" w:hAnsi="Arial" w:cs="Arial"/>
          <w:color w:val="000000"/>
          <w:szCs w:val="20"/>
          <w:lang w:val="en-GB"/>
        </w:rPr>
        <w:t>m, g</w:t>
      </w:r>
      <w:r w:rsidRPr="00E3520F">
        <w:rPr>
          <w:rFonts w:ascii="Arial" w:hAnsi="Arial" w:cs="Arial"/>
          <w:color w:val="000000"/>
          <w:szCs w:val="20"/>
          <w:lang w:val="en-GB"/>
        </w:rPr>
        <w:t>roup revenue was only slightly up on the previous year of €1,217.6m.</w:t>
      </w:r>
      <w:r w:rsidR="00A44634" w:rsidRPr="00E3520F">
        <w:rPr>
          <w:szCs w:val="20"/>
          <w:lang w:val="en-GB"/>
        </w:rPr>
        <w:t xml:space="preserve"> Koenig &amp; Bauer had been targeting organic revenue </w:t>
      </w:r>
      <w:r w:rsidR="00A44634" w:rsidRPr="00E3520F">
        <w:rPr>
          <w:szCs w:val="20"/>
          <w:lang w:val="en-GB"/>
        </w:rPr>
        <w:lastRenderedPageBreak/>
        <w:t>growth of around 4% for 2018. With order inta</w:t>
      </w:r>
      <w:r w:rsidR="0042747F" w:rsidRPr="00E3520F">
        <w:rPr>
          <w:lang w:val="en-GB"/>
        </w:rPr>
        <w:t>ke coming to €1,222</w:t>
      </w:r>
      <w:r w:rsidR="00A44634" w:rsidRPr="00E3520F">
        <w:rPr>
          <w:lang w:val="en-GB"/>
        </w:rPr>
        <w:t>m (previous year: €1,266.3m), order backlog rose to €610.9m (previous year: €606.2m).</w:t>
      </w:r>
    </w:p>
    <w:p w14:paraId="69CB764F" w14:textId="77777777" w:rsidR="00A44634" w:rsidRPr="00E3520F" w:rsidRDefault="00A44634" w:rsidP="00A44634">
      <w:pPr>
        <w:pStyle w:val="berschrift3"/>
        <w:rPr>
          <w:lang w:val="en-GB"/>
        </w:rPr>
      </w:pPr>
      <w:r w:rsidRPr="00E3520F">
        <w:rPr>
          <w:bCs/>
          <w:lang w:val="en-GB"/>
        </w:rPr>
        <w:t>Dividend of €1 per share proposed</w:t>
      </w:r>
    </w:p>
    <w:p w14:paraId="69CB7650" w14:textId="0A173801" w:rsidR="00A44634" w:rsidRPr="00E3520F" w:rsidRDefault="00A44634" w:rsidP="00A44634">
      <w:pPr>
        <w:spacing w:after="240"/>
        <w:rPr>
          <w:szCs w:val="20"/>
          <w:lang w:val="en-GB"/>
        </w:rPr>
      </w:pPr>
      <w:r w:rsidRPr="00E3520F">
        <w:rPr>
          <w:szCs w:val="20"/>
          <w:lang w:val="en-GB"/>
        </w:rPr>
        <w:t xml:space="preserve">High tax expenses resulting from the </w:t>
      </w:r>
      <w:r w:rsidR="0042747F" w:rsidRPr="00E3520F">
        <w:rPr>
          <w:szCs w:val="20"/>
          <w:lang w:val="en-GB"/>
        </w:rPr>
        <w:t>consumption</w:t>
      </w:r>
      <w:r w:rsidRPr="00E3520F">
        <w:rPr>
          <w:szCs w:val="20"/>
          <w:lang w:val="en-GB"/>
        </w:rPr>
        <w:t xml:space="preserve"> of deferred tax assets on </w:t>
      </w:r>
      <w:r w:rsidR="0042747F" w:rsidRPr="00E3520F">
        <w:rPr>
          <w:szCs w:val="20"/>
          <w:lang w:val="en-GB"/>
        </w:rPr>
        <w:t xml:space="preserve">loss carry-forwards </w:t>
      </w:r>
      <w:r w:rsidRPr="00E3520F">
        <w:rPr>
          <w:szCs w:val="20"/>
          <w:lang w:val="en-GB"/>
        </w:rPr>
        <w:t>lef</w:t>
      </w:r>
      <w:r w:rsidR="0042747F" w:rsidRPr="00E3520F">
        <w:rPr>
          <w:szCs w:val="20"/>
          <w:lang w:val="en-GB"/>
        </w:rPr>
        <w:t>t traces on net profit. At €64</w:t>
      </w:r>
      <w:r w:rsidRPr="00E3520F">
        <w:rPr>
          <w:szCs w:val="20"/>
          <w:lang w:val="en-GB"/>
        </w:rPr>
        <w:t xml:space="preserve">m, </w:t>
      </w:r>
      <w:r w:rsidR="0042747F" w:rsidRPr="00E3520F">
        <w:rPr>
          <w:szCs w:val="20"/>
          <w:lang w:val="en-GB"/>
        </w:rPr>
        <w:t>g</w:t>
      </w:r>
      <w:r w:rsidRPr="00E3520F">
        <w:rPr>
          <w:szCs w:val="20"/>
          <w:lang w:val="en-GB"/>
        </w:rPr>
        <w:t>roup net profit (previous year: €81.1m) translates into earnings per share of €3.</w:t>
      </w:r>
      <w:r w:rsidR="0042747F" w:rsidRPr="00E3520F">
        <w:rPr>
          <w:szCs w:val="20"/>
          <w:lang w:val="en-GB"/>
        </w:rPr>
        <w:t>86</w:t>
      </w:r>
      <w:r w:rsidRPr="00E3520F">
        <w:rPr>
          <w:szCs w:val="20"/>
          <w:lang w:val="en-GB"/>
        </w:rPr>
        <w:t xml:space="preserve"> in 2018 (2017: €4.91). “</w:t>
      </w:r>
      <w:r w:rsidR="00ED4D27" w:rsidRPr="00E3520F">
        <w:rPr>
          <w:rFonts w:ascii="Arial" w:hAnsi="Arial" w:cs="Arial"/>
          <w:szCs w:val="20"/>
          <w:lang w:val="en-GB"/>
        </w:rPr>
        <w:t>Thanks to the good group net profit and the retained profit generated by the holding company Koenig &amp; Bauer AG, we are able to continue our dividend policy with a distribution rate at the upper end of the target corr</w:t>
      </w:r>
      <w:r w:rsidR="00930388">
        <w:rPr>
          <w:rFonts w:ascii="Arial" w:hAnsi="Arial" w:cs="Arial"/>
          <w:szCs w:val="20"/>
          <w:lang w:val="en-GB"/>
        </w:rPr>
        <w:t>idor of between 15% and 35% of g</w:t>
      </w:r>
      <w:r w:rsidR="00ED4D27" w:rsidRPr="00E3520F">
        <w:rPr>
          <w:rFonts w:ascii="Arial" w:hAnsi="Arial" w:cs="Arial"/>
          <w:szCs w:val="20"/>
          <w:lang w:val="en-GB"/>
        </w:rPr>
        <w:t>roup net profit</w:t>
      </w:r>
      <w:r w:rsidRPr="00E3520F">
        <w:rPr>
          <w:szCs w:val="20"/>
          <w:lang w:val="en-GB"/>
        </w:rPr>
        <w:t>,” said CEO Claus Bolza-Schünemann. Accordingly, the Management Board and the Supervisory Board will be asking the shareholders to approve a dividend of €1 per share at the annual general meeting on 22 May 2019. This is equivalent to a dividend ratio of 2</w:t>
      </w:r>
      <w:r w:rsidR="00ED4D27" w:rsidRPr="00E3520F">
        <w:rPr>
          <w:szCs w:val="20"/>
          <w:lang w:val="en-GB"/>
        </w:rPr>
        <w:t>5</w:t>
      </w:r>
      <w:r w:rsidRPr="00E3520F">
        <w:rPr>
          <w:szCs w:val="20"/>
          <w:lang w:val="en-GB"/>
        </w:rPr>
        <w:t>.</w:t>
      </w:r>
      <w:r w:rsidR="00ED4D27" w:rsidRPr="00E3520F">
        <w:rPr>
          <w:szCs w:val="20"/>
          <w:lang w:val="en-GB"/>
        </w:rPr>
        <w:t>9</w:t>
      </w:r>
      <w:r w:rsidRPr="00E3520F">
        <w:rPr>
          <w:szCs w:val="20"/>
          <w:lang w:val="en-GB"/>
        </w:rPr>
        <w:t xml:space="preserve">% of </w:t>
      </w:r>
      <w:r w:rsidR="00ED4D27" w:rsidRPr="00E3520F">
        <w:rPr>
          <w:szCs w:val="20"/>
          <w:lang w:val="en-GB"/>
        </w:rPr>
        <w:t>g</w:t>
      </w:r>
      <w:r w:rsidRPr="00E3520F">
        <w:rPr>
          <w:szCs w:val="20"/>
          <w:lang w:val="en-GB"/>
        </w:rPr>
        <w:t xml:space="preserve">roup net profit and a dividend yield of 2.7% on the basis of the closing price of the share in 2018. </w:t>
      </w:r>
    </w:p>
    <w:p w14:paraId="69CB7651" w14:textId="38161E16" w:rsidR="00A44634" w:rsidRPr="00E3520F" w:rsidRDefault="00ED4D27" w:rsidP="00A44634">
      <w:pPr>
        <w:pStyle w:val="berschrift3"/>
        <w:rPr>
          <w:lang w:val="en-GB"/>
        </w:rPr>
      </w:pPr>
      <w:r w:rsidRPr="00E3520F">
        <w:rPr>
          <w:rFonts w:ascii="Arial" w:hAnsi="Arial" w:cs="Arial"/>
          <w:lang w:val="en-GB"/>
        </w:rPr>
        <w:t>Sheetfed limited by parts availability</w:t>
      </w:r>
    </w:p>
    <w:p w14:paraId="69CB7652" w14:textId="38309192" w:rsidR="00A44634" w:rsidRPr="00E3520F" w:rsidRDefault="00ED4D27" w:rsidP="009B0313">
      <w:pPr>
        <w:spacing w:after="240"/>
        <w:rPr>
          <w:lang w:val="en-GB"/>
        </w:rPr>
      </w:pPr>
      <w:r w:rsidRPr="00E3520F">
        <w:rPr>
          <w:rFonts w:ascii="Arial" w:hAnsi="Arial" w:cs="Arial"/>
          <w:szCs w:val="20"/>
          <w:lang w:val="en-GB"/>
        </w:rPr>
        <w:t>At €613m, order intake in the Sheetfed segment was below the previous year’s figure of €656.2m. While the project situation is good, bottlenecks in the availability of parts dampened new business due to longer delivery times. The situation with regard to parts also caused revenue to drop to €647.4m, down on the previous year’s figure of €660.2m. This is also reflected in EBIT, which fell to €36.5m, compared with €37.5m in the previous year. With an EBIT margin of 5.6%, Koenig &amp; Bauer was able to maintain the level achieved (2017: 5.7%) despite the continued price pressure being exerted by competitors. The lower order backlog of €199.1m compared with the previous year (€233.5m) was followed by good order intake at the start of 2019.</w:t>
      </w:r>
    </w:p>
    <w:p w14:paraId="69CB7653" w14:textId="3D177BC2" w:rsidR="00A44634" w:rsidRPr="00E3520F" w:rsidRDefault="009B0313" w:rsidP="00A44634">
      <w:pPr>
        <w:pStyle w:val="berschrift3"/>
        <w:rPr>
          <w:lang w:val="en-GB"/>
        </w:rPr>
      </w:pPr>
      <w:r w:rsidRPr="00E3520F">
        <w:rPr>
          <w:rFonts w:ascii="Arial" w:hAnsi="Arial" w:cs="Arial"/>
          <w:lang w:val="en-GB"/>
        </w:rPr>
        <w:t>Growth expenses burden Digital &amp; Web earnings</w:t>
      </w:r>
    </w:p>
    <w:p w14:paraId="0B725987" w14:textId="01201B50" w:rsidR="009B0313" w:rsidRPr="00E3520F" w:rsidRDefault="009B0313" w:rsidP="009B0313">
      <w:pPr>
        <w:spacing w:after="240"/>
        <w:ind w:right="425"/>
        <w:rPr>
          <w:rFonts w:ascii="Arial" w:hAnsi="Arial" w:cs="Arial"/>
          <w:szCs w:val="20"/>
          <w:lang w:val="en-GB"/>
        </w:rPr>
      </w:pPr>
      <w:r w:rsidRPr="00E3520F">
        <w:rPr>
          <w:rFonts w:ascii="Arial" w:hAnsi="Arial" w:cs="Arial"/>
          <w:szCs w:val="20"/>
          <w:lang w:val="en-GB"/>
        </w:rPr>
        <w:t>Orders in the Digital &amp; Web segment rose from €139.6m to €167.6m, primarily due to the record order intake for flexible packaging printing, which reflects the initial success of the realignment of this business field. Whereas the demand for the HP press for digital pre-prints of corrugated liners was subdued, several presses were sold from the RotaJET digital printing platform for decor and flexible packaging printing, substantially exceeding the previous year’s figure. At €150.7m, revenue was slightly down on the previous year (€154.2m). Together with market-entry and growth-related expenses for digital, flexible packaging and corrugated board printing, the lower revenue exerted pressure on EBIT. Accordingly, EBIT fell to –€10.5m, compared with –€4.3m in the previous year. The order backlog widened from €61.5m to €78.4m at the end of 2018.</w:t>
      </w:r>
    </w:p>
    <w:p w14:paraId="69CB7655" w14:textId="77777777" w:rsidR="00A44634" w:rsidRPr="00E3520F" w:rsidRDefault="00A44634" w:rsidP="00A44634">
      <w:pPr>
        <w:pStyle w:val="berschrift3"/>
        <w:rPr>
          <w:lang w:val="en-GB"/>
        </w:rPr>
      </w:pPr>
      <w:r w:rsidRPr="00E3520F">
        <w:rPr>
          <w:bCs/>
          <w:lang w:val="en-GB"/>
        </w:rPr>
        <w:t>Revenue up in Special</w:t>
      </w:r>
    </w:p>
    <w:p w14:paraId="69CB7656" w14:textId="77E78E93" w:rsidR="00A44634" w:rsidRPr="00E3520F" w:rsidRDefault="008649F6" w:rsidP="00A44634">
      <w:pPr>
        <w:spacing w:after="240"/>
        <w:rPr>
          <w:rFonts w:ascii="Arial" w:hAnsi="Arial" w:cs="Arial"/>
          <w:szCs w:val="20"/>
          <w:lang w:val="en-GB"/>
        </w:rPr>
      </w:pPr>
      <w:r w:rsidRPr="00E3520F">
        <w:rPr>
          <w:lang w:val="en-GB"/>
        </w:rPr>
        <w:t xml:space="preserve">Given large orders and with project business remaining generally favourable, volatility remained high in security printing due to </w:t>
      </w:r>
      <w:r w:rsidRPr="00E3520F">
        <w:rPr>
          <w:rFonts w:ascii="Arial" w:hAnsi="Arial" w:cs="Arial"/>
          <w:szCs w:val="20"/>
          <w:lang w:val="en-GB"/>
        </w:rPr>
        <w:t xml:space="preserve">often lengthy order placement and the domination of large-scale projects. </w:t>
      </w:r>
      <w:r w:rsidRPr="00E3520F">
        <w:rPr>
          <w:lang w:val="en-GB"/>
        </w:rPr>
        <w:t xml:space="preserve">Further market share was gained in marking and coding, while the market position in the tobacco and tyre industry in particular was expanded significantly. </w:t>
      </w:r>
      <w:r w:rsidRPr="00E3520F">
        <w:rPr>
          <w:rFonts w:ascii="Arial" w:hAnsi="Arial" w:cs="Arial"/>
          <w:szCs w:val="20"/>
          <w:lang w:val="en-GB"/>
        </w:rPr>
        <w:t>Lower orders for metal and glass/hollow container decorating presses caused order intake in the Special segment to drop to €502.4m, down from €533.7m in the previous year. Revenue climbed from €467.9m to €490.5m thanks to growth in security printing, marking and coding and glass/hollow container decorating. EBIT came to €49.7m in 2018, down from €53.7m in the previous year. With the order backlog inc</w:t>
      </w:r>
      <w:r w:rsidR="00F43164">
        <w:rPr>
          <w:rFonts w:ascii="Arial" w:hAnsi="Arial" w:cs="Arial"/>
          <w:szCs w:val="20"/>
          <w:lang w:val="en-GB"/>
        </w:rPr>
        <w:t>reasing to €344.6m (2017: €324</w:t>
      </w:r>
      <w:r w:rsidRPr="00E3520F">
        <w:rPr>
          <w:rFonts w:ascii="Arial" w:hAnsi="Arial" w:cs="Arial"/>
          <w:szCs w:val="20"/>
          <w:lang w:val="en-GB"/>
        </w:rPr>
        <w:t>m) at the end of December, good capacity utilisation is assured over the next few months.</w:t>
      </w:r>
    </w:p>
    <w:p w14:paraId="69CB7657" w14:textId="2011A379" w:rsidR="00A44634" w:rsidRPr="00E3520F" w:rsidRDefault="00A44634" w:rsidP="00A44634">
      <w:pPr>
        <w:pStyle w:val="berschrift3"/>
        <w:rPr>
          <w:lang w:val="en-GB"/>
        </w:rPr>
      </w:pPr>
      <w:r w:rsidRPr="00E3520F">
        <w:rPr>
          <w:bCs/>
          <w:lang w:val="en-GB"/>
        </w:rPr>
        <w:t xml:space="preserve">Strong </w:t>
      </w:r>
      <w:r w:rsidR="008649F6" w:rsidRPr="00E3520F">
        <w:rPr>
          <w:bCs/>
          <w:lang w:val="en-GB"/>
        </w:rPr>
        <w:t>financial power</w:t>
      </w:r>
      <w:r w:rsidRPr="00E3520F">
        <w:rPr>
          <w:bCs/>
          <w:lang w:val="en-GB"/>
        </w:rPr>
        <w:t xml:space="preserve"> and balance sheet</w:t>
      </w:r>
    </w:p>
    <w:p w14:paraId="69CB7658" w14:textId="4992820C" w:rsidR="00A44634" w:rsidRPr="00FE03A2" w:rsidRDefault="00A44634" w:rsidP="00A44634">
      <w:pPr>
        <w:spacing w:after="240"/>
        <w:rPr>
          <w:szCs w:val="20"/>
          <w:lang w:val="en-GB"/>
        </w:rPr>
      </w:pPr>
      <w:r w:rsidRPr="00FE03A2">
        <w:rPr>
          <w:szCs w:val="20"/>
          <w:lang w:val="en-GB"/>
        </w:rPr>
        <w:t>Cash flow</w:t>
      </w:r>
      <w:r w:rsidR="008649F6" w:rsidRPr="00FE03A2">
        <w:rPr>
          <w:szCs w:val="20"/>
          <w:lang w:val="en-GB"/>
        </w:rPr>
        <w:t>s</w:t>
      </w:r>
      <w:r w:rsidRPr="00FE03A2">
        <w:rPr>
          <w:szCs w:val="20"/>
          <w:lang w:val="en-GB"/>
        </w:rPr>
        <w:t xml:space="preserve"> from operating activities was particularly strong, coming to €66.3m, up from €23.8m in the previous year. The substantial improvement in free cash flow to–</w:t>
      </w:r>
      <w:r w:rsidR="00B03620" w:rsidRPr="00FE03A2">
        <w:rPr>
          <w:szCs w:val="20"/>
          <w:lang w:val="en-GB"/>
        </w:rPr>
        <w:t>€</w:t>
      </w:r>
      <w:r w:rsidRPr="00FE03A2">
        <w:rPr>
          <w:szCs w:val="20"/>
          <w:lang w:val="en-GB"/>
        </w:rPr>
        <w:t xml:space="preserve">19.5m compared with the previous </w:t>
      </w:r>
      <w:r w:rsidRPr="00FE03A2">
        <w:rPr>
          <w:szCs w:val="20"/>
          <w:lang w:val="en-GB"/>
        </w:rPr>
        <w:lastRenderedPageBreak/>
        <w:t>year (</w:t>
      </w:r>
      <w:r w:rsidR="00F43164" w:rsidRPr="00FE03A2">
        <w:rPr>
          <w:szCs w:val="20"/>
          <w:lang w:val="en-GB"/>
        </w:rPr>
        <w:t>–</w:t>
      </w:r>
      <w:r w:rsidRPr="00FE03A2">
        <w:rPr>
          <w:szCs w:val="20"/>
          <w:lang w:val="en-GB"/>
        </w:rPr>
        <w:t xml:space="preserve">€59.6m) </w:t>
      </w:r>
      <w:r w:rsidR="00B03620" w:rsidRPr="00FE03A2">
        <w:rPr>
          <w:szCs w:val="20"/>
          <w:lang w:val="en-GB"/>
        </w:rPr>
        <w:t xml:space="preserve">was burdened by high investments and the </w:t>
      </w:r>
      <w:r w:rsidR="00B03620" w:rsidRPr="00FE03A2">
        <w:rPr>
          <w:rFonts w:ascii="Arial" w:hAnsi="Arial" w:cs="Arial"/>
          <w:szCs w:val="20"/>
          <w:lang w:val="en-GB"/>
        </w:rPr>
        <w:t>final payment instalment for the external funding of a part of the pension provisions</w:t>
      </w:r>
      <w:r w:rsidR="00B03620" w:rsidRPr="00FE03A2">
        <w:rPr>
          <w:rFonts w:ascii="Arial" w:hAnsi="Arial" w:cs="Arial"/>
          <w:color w:val="000000"/>
          <w:szCs w:val="20"/>
          <w:lang w:val="en-GB"/>
        </w:rPr>
        <w:t>.</w:t>
      </w:r>
      <w:r w:rsidR="00B03620" w:rsidRPr="00FE03A2">
        <w:rPr>
          <w:szCs w:val="20"/>
          <w:lang w:val="en-GB"/>
        </w:rPr>
        <w:t xml:space="preserve"> </w:t>
      </w:r>
      <w:r w:rsidRPr="00FE03A2">
        <w:rPr>
          <w:szCs w:val="20"/>
          <w:lang w:val="en-GB"/>
        </w:rPr>
        <w:t xml:space="preserve">Together with </w:t>
      </w:r>
      <w:r w:rsidR="00B03620" w:rsidRPr="00FE03A2">
        <w:rPr>
          <w:szCs w:val="20"/>
          <w:lang w:val="en-GB"/>
        </w:rPr>
        <w:t>the</w:t>
      </w:r>
      <w:r w:rsidRPr="00FE03A2">
        <w:rPr>
          <w:szCs w:val="20"/>
          <w:lang w:val="en-GB"/>
        </w:rPr>
        <w:t xml:space="preserve"> solid internal liquidity, the syndicated long-term credit facilities give </w:t>
      </w:r>
      <w:r w:rsidR="00B03620" w:rsidRPr="00FE03A2">
        <w:rPr>
          <w:szCs w:val="20"/>
          <w:lang w:val="en-GB"/>
        </w:rPr>
        <w:t>Koenig &amp; Bauer</w:t>
      </w:r>
      <w:r w:rsidRPr="00FE03A2">
        <w:rPr>
          <w:szCs w:val="20"/>
          <w:lang w:val="en-GB"/>
        </w:rPr>
        <w:t xml:space="preserve"> a strong and stable financial basis. The strong balance</w:t>
      </w:r>
      <w:r w:rsidR="00B03620" w:rsidRPr="00FE03A2">
        <w:rPr>
          <w:szCs w:val="20"/>
          <w:lang w:val="en-GB"/>
        </w:rPr>
        <w:t xml:space="preserve"> </w:t>
      </w:r>
      <w:r w:rsidRPr="00FE03A2">
        <w:rPr>
          <w:szCs w:val="20"/>
          <w:lang w:val="en-GB"/>
        </w:rPr>
        <w:t>sheet structure was additionally enhanced with the increase in the equity ratio to 38.</w:t>
      </w:r>
      <w:r w:rsidR="00B03620" w:rsidRPr="00FE03A2">
        <w:rPr>
          <w:szCs w:val="20"/>
          <w:lang w:val="en-GB"/>
        </w:rPr>
        <w:t>5%.</w:t>
      </w:r>
    </w:p>
    <w:p w14:paraId="69CB7659" w14:textId="06EA8344" w:rsidR="00A44634" w:rsidRPr="00E3520F" w:rsidRDefault="00F43164" w:rsidP="00A44634">
      <w:pPr>
        <w:pStyle w:val="berschrift3"/>
        <w:rPr>
          <w:lang w:val="en-GB"/>
        </w:rPr>
      </w:pPr>
      <w:r>
        <w:rPr>
          <w:bCs/>
          <w:lang w:val="en-GB"/>
        </w:rPr>
        <w:t>Guidance</w:t>
      </w:r>
      <w:r w:rsidR="00A44634" w:rsidRPr="00E3520F">
        <w:rPr>
          <w:bCs/>
          <w:lang w:val="en-GB"/>
        </w:rPr>
        <w:t xml:space="preserve"> for 2019</w:t>
      </w:r>
    </w:p>
    <w:p w14:paraId="69CB765A" w14:textId="20B0098F" w:rsidR="00A44634" w:rsidRPr="00E3520F" w:rsidRDefault="00A44634" w:rsidP="004B5DBB">
      <w:pPr>
        <w:spacing w:after="240"/>
        <w:ind w:right="-2"/>
        <w:rPr>
          <w:lang w:val="en-GB"/>
        </w:rPr>
      </w:pPr>
      <w:r w:rsidRPr="00E3520F">
        <w:rPr>
          <w:szCs w:val="20"/>
          <w:lang w:val="en-GB"/>
        </w:rPr>
        <w:t>CFO Mathias Dähn: “</w:t>
      </w:r>
      <w:r w:rsidR="00B03620" w:rsidRPr="00E3520F">
        <w:rPr>
          <w:rFonts w:ascii="Arial" w:hAnsi="Arial" w:cs="Arial"/>
          <w:szCs w:val="20"/>
          <w:lang w:val="en-GB"/>
        </w:rPr>
        <w:t xml:space="preserve">The order backlog, which rose to €610.9m at the end of 2018, together with the good order development in January and February 2019 gives us good forward visibility across </w:t>
      </w:r>
      <w:r w:rsidR="00930388">
        <w:rPr>
          <w:rFonts w:ascii="Arial" w:hAnsi="Arial" w:cs="Arial"/>
          <w:szCs w:val="20"/>
          <w:lang w:val="en-GB"/>
        </w:rPr>
        <w:t>the entire g</w:t>
      </w:r>
      <w:r w:rsidR="00B03620" w:rsidRPr="00E3520F">
        <w:rPr>
          <w:rFonts w:ascii="Arial" w:hAnsi="Arial" w:cs="Arial"/>
          <w:szCs w:val="20"/>
          <w:lang w:val="en-GB"/>
        </w:rPr>
        <w:t xml:space="preserve">roup until the summer of 2019 and, in security printing with its good order situation, until 2020. The printing production output of our customers all around the world is growing, especially in packaging and banknote printing. With the exception of the packaging printers in China producing for export markets, our order intake has so far largely shrugged off the effects of the recent political and economic developments. In the absence of any material deterioration in the </w:t>
      </w:r>
      <w:r w:rsidR="00E648E6" w:rsidRPr="00E3520F">
        <w:rPr>
          <w:rFonts w:ascii="Arial" w:hAnsi="Arial" w:cs="Arial"/>
          <w:szCs w:val="20"/>
          <w:lang w:val="en-GB"/>
        </w:rPr>
        <w:t xml:space="preserve">underlying </w:t>
      </w:r>
      <w:r w:rsidR="00B03620" w:rsidRPr="00E3520F">
        <w:rPr>
          <w:rFonts w:ascii="Arial" w:hAnsi="Arial" w:cs="Arial"/>
          <w:szCs w:val="20"/>
          <w:lang w:val="en-GB"/>
        </w:rPr>
        <w:t xml:space="preserve">conditions </w:t>
      </w:r>
      <w:r w:rsidR="00E648E6" w:rsidRPr="00E3520F">
        <w:rPr>
          <w:lang w:val="en-GB"/>
        </w:rPr>
        <w:t>over the next few months</w:t>
      </w:r>
      <w:r w:rsidR="00B03620" w:rsidRPr="00E3520F">
        <w:rPr>
          <w:rFonts w:ascii="Arial" w:hAnsi="Arial" w:cs="Arial"/>
          <w:szCs w:val="20"/>
          <w:lang w:val="en-GB"/>
        </w:rPr>
        <w:t xml:space="preserve">, </w:t>
      </w:r>
      <w:r w:rsidR="00B03620" w:rsidRPr="00E3520F">
        <w:rPr>
          <w:rFonts w:ascii="Arial" w:hAnsi="Arial" w:cs="Arial"/>
          <w:color w:val="000000"/>
          <w:szCs w:val="20"/>
          <w:lang w:val="en-GB"/>
        </w:rPr>
        <w:t xml:space="preserve">we </w:t>
      </w:r>
      <w:r w:rsidR="00E83C12">
        <w:rPr>
          <w:rFonts w:ascii="Arial" w:hAnsi="Arial" w:cs="Arial"/>
          <w:color w:val="000000"/>
          <w:szCs w:val="20"/>
          <w:lang w:val="en-GB"/>
        </w:rPr>
        <w:t>target</w:t>
      </w:r>
      <w:r w:rsidR="00930388">
        <w:rPr>
          <w:rFonts w:ascii="Arial" w:hAnsi="Arial" w:cs="Arial"/>
          <w:color w:val="000000"/>
          <w:szCs w:val="20"/>
          <w:lang w:val="en-GB"/>
        </w:rPr>
        <w:t xml:space="preserve"> organic growth of up to 4% in g</w:t>
      </w:r>
      <w:r w:rsidR="00B03620" w:rsidRPr="00E3520F">
        <w:rPr>
          <w:rFonts w:ascii="Arial" w:hAnsi="Arial" w:cs="Arial"/>
          <w:color w:val="000000"/>
          <w:szCs w:val="20"/>
          <w:lang w:val="en-GB"/>
        </w:rPr>
        <w:t xml:space="preserve">roup revenue and an EBIT margin of around 6% in 2019. </w:t>
      </w:r>
      <w:r w:rsidR="00E648E6" w:rsidRPr="00E3520F">
        <w:rPr>
          <w:lang w:val="en-GB"/>
        </w:rPr>
        <w:t xml:space="preserve">This includes the annual </w:t>
      </w:r>
      <w:r w:rsidR="00930388">
        <w:rPr>
          <w:lang w:val="en-GB"/>
        </w:rPr>
        <w:t>0.7% improvement in margins on g</w:t>
      </w:r>
      <w:r w:rsidR="00E648E6" w:rsidRPr="00E3520F">
        <w:rPr>
          <w:lang w:val="en-GB"/>
        </w:rPr>
        <w:t xml:space="preserve">roup projects to boost earnings as well as the </w:t>
      </w:r>
      <w:r w:rsidR="00B03620" w:rsidRPr="00E3520F">
        <w:rPr>
          <w:rFonts w:ascii="Arial" w:hAnsi="Arial" w:cs="Arial"/>
          <w:color w:val="000000"/>
          <w:szCs w:val="20"/>
          <w:lang w:val="en-GB"/>
        </w:rPr>
        <w:t>margin impact from the growth offensive 2023, the cumulative costs of which we expect to reach around €50m for 2019 to 2021 with a heavier load in the first year.</w:t>
      </w:r>
      <w:r w:rsidR="00B03620" w:rsidRPr="00E3520F">
        <w:rPr>
          <w:rFonts w:ascii="Arial" w:hAnsi="Arial" w:cs="Arial"/>
          <w:szCs w:val="20"/>
          <w:lang w:val="en-GB"/>
        </w:rPr>
        <w:t xml:space="preserve"> </w:t>
      </w:r>
      <w:r w:rsidR="00E648E6" w:rsidRPr="00E3520F">
        <w:rPr>
          <w:rFonts w:ascii="Arial" w:hAnsi="Arial" w:cs="Arial"/>
          <w:szCs w:val="20"/>
          <w:lang w:val="en-GB"/>
        </w:rPr>
        <w:t xml:space="preserve">In the event of a slowdown in the economy, </w:t>
      </w:r>
      <w:r w:rsidR="00B03620" w:rsidRPr="00E3520F">
        <w:rPr>
          <w:rFonts w:ascii="Arial" w:hAnsi="Arial" w:cs="Arial"/>
          <w:szCs w:val="20"/>
          <w:lang w:val="en-GB"/>
        </w:rPr>
        <w:t>we cannot rule out an up to 2</w:t>
      </w:r>
      <w:r w:rsidR="00E648E6" w:rsidRPr="00E3520F">
        <w:rPr>
          <w:rFonts w:ascii="Arial" w:hAnsi="Arial" w:cs="Arial"/>
          <w:szCs w:val="20"/>
          <w:lang w:val="en-GB"/>
        </w:rPr>
        <w:t xml:space="preserve"> </w:t>
      </w:r>
      <w:r w:rsidR="00E648E6" w:rsidRPr="00E3520F">
        <w:rPr>
          <w:lang w:val="en-GB"/>
        </w:rPr>
        <w:t>percentage points</w:t>
      </w:r>
      <w:r w:rsidR="00E648E6" w:rsidRPr="00E3520F">
        <w:rPr>
          <w:rFonts w:ascii="Arial" w:hAnsi="Arial" w:cs="Arial"/>
          <w:szCs w:val="20"/>
          <w:lang w:val="en-GB"/>
        </w:rPr>
        <w:t xml:space="preserve"> lower EBIT</w:t>
      </w:r>
      <w:r w:rsidRPr="00E3520F">
        <w:rPr>
          <w:lang w:val="en-GB"/>
        </w:rPr>
        <w:t>.”</w:t>
      </w:r>
    </w:p>
    <w:p w14:paraId="69CB765B" w14:textId="77777777" w:rsidR="00A44634" w:rsidRPr="00E3520F" w:rsidRDefault="00A44634" w:rsidP="00A44634">
      <w:pPr>
        <w:pStyle w:val="berschrift3"/>
        <w:rPr>
          <w:lang w:val="en-GB"/>
        </w:rPr>
      </w:pPr>
      <w:r w:rsidRPr="00E3520F">
        <w:rPr>
          <w:bCs/>
          <w:lang w:val="en-GB"/>
        </w:rPr>
        <w:t>Medium-term targets until 2023</w:t>
      </w:r>
    </w:p>
    <w:p w14:paraId="69CB765C" w14:textId="118952BC" w:rsidR="00584EAD" w:rsidRPr="00E3520F" w:rsidRDefault="00A44634" w:rsidP="00A44634">
      <w:pPr>
        <w:spacing w:after="240"/>
        <w:rPr>
          <w:lang w:val="en-GB"/>
        </w:rPr>
      </w:pPr>
      <w:r w:rsidRPr="00E3520F">
        <w:rPr>
          <w:lang w:val="en-GB"/>
        </w:rPr>
        <w:t>CEO Claus Bolza-Schünemann: “</w:t>
      </w:r>
      <w:r w:rsidR="003F79E8" w:rsidRPr="00E3520F">
        <w:rPr>
          <w:rFonts w:ascii="Arial" w:hAnsi="Arial" w:cs="Arial"/>
          <w:szCs w:val="20"/>
          <w:lang w:val="en-GB"/>
        </w:rPr>
        <w:t xml:space="preserve">With our growth offensive 2023, we want to </w:t>
      </w:r>
      <w:r w:rsidR="003F79E8" w:rsidRPr="00E3520F">
        <w:rPr>
          <w:rFonts w:ascii="Arial" w:hAnsi="Arial" w:cs="Arial"/>
          <w:color w:val="222222"/>
          <w:szCs w:val="20"/>
          <w:lang w:val="en-GB"/>
        </w:rPr>
        <w:t>actively exploit the currently available market opportunities</w:t>
      </w:r>
      <w:r w:rsidR="003F79E8" w:rsidRPr="00E3520F">
        <w:rPr>
          <w:rFonts w:ascii="Arial" w:hAnsi="Arial" w:cs="Arial"/>
          <w:szCs w:val="20"/>
          <w:lang w:val="en-GB"/>
        </w:rPr>
        <w:t xml:space="preserve"> in the cardboard, corrugated board, flexible packaging, 2-piece can, marking and coding, glass direct and decor printing as well as in postpress to achieve sustained profitable growth. </w:t>
      </w:r>
      <w:r w:rsidR="003F79E8" w:rsidRPr="00E3520F">
        <w:rPr>
          <w:rFonts w:ascii="Arial" w:hAnsi="Arial" w:cs="Arial"/>
          <w:color w:val="222222"/>
          <w:szCs w:val="20"/>
          <w:lang w:val="en-GB"/>
        </w:rPr>
        <w:t>The impact of volatile security printing will be reduced by higher packaging share of group revenue.</w:t>
      </w:r>
      <w:r w:rsidR="003F79E8" w:rsidRPr="00E3520F">
        <w:rPr>
          <w:rFonts w:ascii="Arial" w:hAnsi="Arial" w:cs="Arial"/>
          <w:szCs w:val="20"/>
          <w:lang w:val="en-GB"/>
        </w:rPr>
        <w:t xml:space="preserve"> For web offset presses for newspaper and commercial printing, we expect a further business decline. With all our initiatives and projects, we are targeting to increase group revenue to around €1.5bn with an EBIT margin of between 7 % and 10% </w:t>
      </w:r>
      <w:r w:rsidR="00FE03A2">
        <w:rPr>
          <w:rFonts w:ascii="Arial" w:hAnsi="Arial" w:cs="Arial"/>
          <w:szCs w:val="20"/>
          <w:lang w:val="en-GB"/>
        </w:rPr>
        <w:t>until</w:t>
      </w:r>
      <w:r w:rsidR="003F79E8" w:rsidRPr="00E3520F">
        <w:rPr>
          <w:rFonts w:ascii="Arial" w:hAnsi="Arial" w:cs="Arial"/>
          <w:szCs w:val="20"/>
          <w:lang w:val="en-GB"/>
        </w:rPr>
        <w:t xml:space="preserve"> 2023. </w:t>
      </w:r>
      <w:r w:rsidR="003F79E8" w:rsidRPr="00E3520F">
        <w:rPr>
          <w:rFonts w:ascii="Arial" w:hAnsi="Arial" w:cs="Arial"/>
          <w:color w:val="000000"/>
          <w:szCs w:val="20"/>
          <w:lang w:val="en-GB"/>
        </w:rPr>
        <w:t>All three segments are to contribute to the growth in revenue and earnings. Our f</w:t>
      </w:r>
      <w:r w:rsidR="003F79E8" w:rsidRPr="00E3520F">
        <w:rPr>
          <w:rFonts w:ascii="Arial" w:hAnsi="Arial" w:cs="Arial"/>
          <w:szCs w:val="20"/>
          <w:lang w:val="en-GB"/>
        </w:rPr>
        <w:t>urther targets include a dividend ratio of 15 - 35% of group net profit, an equity ratio of over 45%, a target corridor for net working capital of 20 - 25% of revenue, and a share of 30% in total revenue for service business.</w:t>
      </w:r>
      <w:r w:rsidRPr="00E3520F">
        <w:rPr>
          <w:lang w:val="en-GB"/>
        </w:rPr>
        <w:t>”</w:t>
      </w:r>
    </w:p>
    <w:p w14:paraId="69CB765D" w14:textId="77777777" w:rsidR="004B5DBB" w:rsidRPr="00E3520F" w:rsidRDefault="004B5DBB" w:rsidP="00A44634">
      <w:pPr>
        <w:spacing w:after="240"/>
        <w:rPr>
          <w:lang w:val="en-GB"/>
        </w:rPr>
      </w:pPr>
    </w:p>
    <w:p w14:paraId="69CB765E" w14:textId="77777777" w:rsidR="00BC4F56" w:rsidRPr="00E3520F" w:rsidRDefault="00A44634" w:rsidP="00BC4F56">
      <w:pPr>
        <w:pStyle w:val="berschrift4"/>
        <w:rPr>
          <w:lang w:val="en-GB"/>
        </w:rPr>
      </w:pPr>
      <w:r w:rsidRPr="00E3520F">
        <w:rPr>
          <w:bCs/>
          <w:iCs w:val="0"/>
          <w:lang w:val="en-GB"/>
        </w:rPr>
        <w:t>Photo 1:</w:t>
      </w:r>
    </w:p>
    <w:p w14:paraId="69CB765F" w14:textId="72D68620" w:rsidR="006B2D44" w:rsidRPr="00E3520F" w:rsidRDefault="003F79E8" w:rsidP="00BC4F56">
      <w:pPr>
        <w:spacing w:after="240"/>
        <w:rPr>
          <w:lang w:val="en-GB"/>
        </w:rPr>
      </w:pPr>
      <w:r w:rsidRPr="00E3520F">
        <w:rPr>
          <w:color w:val="222222"/>
          <w:lang w:val="en-GB"/>
        </w:rPr>
        <w:t xml:space="preserve">The service revenue share increased </w:t>
      </w:r>
      <w:r w:rsidR="00A759B5">
        <w:rPr>
          <w:color w:val="222222"/>
          <w:lang w:val="en-GB"/>
        </w:rPr>
        <w:t xml:space="preserve">in the group </w:t>
      </w:r>
      <w:r w:rsidRPr="00E3520F">
        <w:rPr>
          <w:color w:val="222222"/>
          <w:lang w:val="en-GB"/>
        </w:rPr>
        <w:t>to 25.9% in 2018</w:t>
      </w:r>
    </w:p>
    <w:p w14:paraId="69CB7660" w14:textId="77777777" w:rsidR="00A44634" w:rsidRPr="00E3520F" w:rsidRDefault="00A44634" w:rsidP="00A44634">
      <w:pPr>
        <w:pStyle w:val="berschrift4"/>
        <w:rPr>
          <w:lang w:val="en-GB"/>
        </w:rPr>
      </w:pPr>
      <w:r w:rsidRPr="00E3520F">
        <w:rPr>
          <w:bCs/>
          <w:iCs w:val="0"/>
          <w:lang w:val="en-GB"/>
        </w:rPr>
        <w:t>Photo 2:</w:t>
      </w:r>
    </w:p>
    <w:p w14:paraId="69CB7661" w14:textId="581F5C87" w:rsidR="00262470" w:rsidRPr="00E3520F" w:rsidRDefault="003F79E8" w:rsidP="00584EAD">
      <w:pPr>
        <w:spacing w:after="240"/>
        <w:rPr>
          <w:lang w:val="en-GB"/>
        </w:rPr>
      </w:pPr>
      <w:r w:rsidRPr="00E3520F">
        <w:rPr>
          <w:lang w:val="en-GB"/>
        </w:rPr>
        <w:t xml:space="preserve">In folding carton printing, </w:t>
      </w:r>
      <w:r w:rsidR="00F71860" w:rsidRPr="00E3520F">
        <w:rPr>
          <w:lang w:val="en-GB"/>
        </w:rPr>
        <w:t>Koenig &amp; Bauer</w:t>
      </w:r>
      <w:r w:rsidRPr="00E3520F">
        <w:rPr>
          <w:lang w:val="en-GB"/>
        </w:rPr>
        <w:t xml:space="preserve"> stren</w:t>
      </w:r>
      <w:r w:rsidR="00262470" w:rsidRPr="00E3520F">
        <w:rPr>
          <w:lang w:val="en-GB"/>
        </w:rPr>
        <w:t>g</w:t>
      </w:r>
      <w:r w:rsidRPr="00E3520F">
        <w:rPr>
          <w:lang w:val="en-GB"/>
        </w:rPr>
        <w:t>thened its g</w:t>
      </w:r>
      <w:r w:rsidR="00262470" w:rsidRPr="00E3520F">
        <w:rPr>
          <w:lang w:val="en-GB"/>
        </w:rPr>
        <w:t xml:space="preserve">lobal market and technological leadership </w:t>
      </w:r>
      <w:r w:rsidR="00F71860" w:rsidRPr="00E3520F">
        <w:rPr>
          <w:lang w:val="en-GB"/>
        </w:rPr>
        <w:t xml:space="preserve">in </w:t>
      </w:r>
      <w:r w:rsidRPr="00E3520F">
        <w:rPr>
          <w:lang w:val="en-GB"/>
        </w:rPr>
        <w:t>its largest business field</w:t>
      </w:r>
    </w:p>
    <w:p w14:paraId="04FE340D" w14:textId="42D03151" w:rsidR="00A759B5" w:rsidRPr="00E3520F" w:rsidRDefault="00A759B5" w:rsidP="00A759B5">
      <w:pPr>
        <w:pStyle w:val="berschrift4"/>
        <w:rPr>
          <w:lang w:val="en-GB"/>
        </w:rPr>
      </w:pPr>
      <w:r w:rsidRPr="00E3520F">
        <w:rPr>
          <w:bCs/>
          <w:iCs w:val="0"/>
          <w:lang w:val="en-GB"/>
        </w:rPr>
        <w:t xml:space="preserve">Photo </w:t>
      </w:r>
      <w:r>
        <w:rPr>
          <w:bCs/>
          <w:iCs w:val="0"/>
          <w:lang w:val="en-GB"/>
        </w:rPr>
        <w:t>3</w:t>
      </w:r>
      <w:r w:rsidRPr="00E3520F">
        <w:rPr>
          <w:bCs/>
          <w:iCs w:val="0"/>
          <w:lang w:val="en-GB"/>
        </w:rPr>
        <w:t>:</w:t>
      </w:r>
    </w:p>
    <w:p w14:paraId="21E44B89" w14:textId="57926D96" w:rsidR="00BE571B" w:rsidRPr="00F43164" w:rsidRDefault="00D51D4F" w:rsidP="00F43164">
      <w:pPr>
        <w:spacing w:after="240"/>
        <w:rPr>
          <w:lang w:val="en-US"/>
        </w:rPr>
      </w:pPr>
      <w:r w:rsidRPr="00F43164">
        <w:rPr>
          <w:lang w:val="en-GB"/>
        </w:rPr>
        <w:t>With good orders in security printing</w:t>
      </w:r>
      <w:r w:rsidR="00F43164">
        <w:rPr>
          <w:lang w:val="en-GB"/>
        </w:rPr>
        <w:t xml:space="preserve"> Koenig &amp; Bauer held </w:t>
      </w:r>
      <w:r w:rsidRPr="00F43164">
        <w:rPr>
          <w:lang w:val="en-GB"/>
        </w:rPr>
        <w:t>market leadership with over 90% world market share</w:t>
      </w:r>
    </w:p>
    <w:p w14:paraId="58650BFE" w14:textId="3F0AF1A0" w:rsidR="005E02AB" w:rsidRPr="00F43164" w:rsidRDefault="005E02AB" w:rsidP="00A759B5">
      <w:pPr>
        <w:spacing w:after="240"/>
        <w:rPr>
          <w:lang w:val="en-US"/>
        </w:rPr>
      </w:pPr>
    </w:p>
    <w:p w14:paraId="401AAF03" w14:textId="77777777" w:rsidR="002C66C1" w:rsidRDefault="002C66C1" w:rsidP="00584EAD">
      <w:pPr>
        <w:spacing w:after="240"/>
        <w:rPr>
          <w:lang w:val="en-GB"/>
        </w:rPr>
      </w:pPr>
    </w:p>
    <w:p w14:paraId="6DBA74F5" w14:textId="77777777" w:rsidR="00F43164" w:rsidRDefault="00F43164" w:rsidP="00584EAD">
      <w:pPr>
        <w:spacing w:after="240"/>
        <w:rPr>
          <w:lang w:val="en-GB"/>
        </w:rPr>
      </w:pPr>
    </w:p>
    <w:p w14:paraId="45023E31" w14:textId="77777777" w:rsidR="005E02AB" w:rsidRPr="00A759B5" w:rsidRDefault="005E02AB" w:rsidP="005E02AB">
      <w:pPr>
        <w:pStyle w:val="FlietextStandard"/>
        <w:rPr>
          <w:rStyle w:val="Hervorhebung"/>
        </w:rPr>
      </w:pPr>
      <w:r w:rsidRPr="00A759B5">
        <w:rPr>
          <w:rStyle w:val="Hervorhebung"/>
        </w:rPr>
        <w:lastRenderedPageBreak/>
        <w:t>Press contact:</w:t>
      </w:r>
    </w:p>
    <w:p w14:paraId="0218C235" w14:textId="77777777" w:rsidR="005E02AB" w:rsidRPr="00A759B5" w:rsidRDefault="005E02AB" w:rsidP="005E02AB">
      <w:pPr>
        <w:pStyle w:val="FlietextStandard"/>
        <w:rPr>
          <w:rStyle w:val="Hyperlink"/>
          <w:rFonts w:eastAsiaTheme="majorEastAsia"/>
        </w:rPr>
      </w:pPr>
      <w:r w:rsidRPr="00A759B5">
        <w:t>Koenig &amp; Bauer AG</w:t>
      </w:r>
      <w:r w:rsidRPr="00A759B5">
        <w:br/>
        <w:t>Investor Relations</w:t>
      </w:r>
      <w:r w:rsidRPr="00A759B5">
        <w:br/>
        <w:t xml:space="preserve">Dr Bernd Heusinger </w:t>
      </w:r>
      <w:r w:rsidRPr="00A759B5">
        <w:br/>
        <w:t>T +49 931 909-4835</w:t>
      </w:r>
      <w:r w:rsidRPr="00A759B5">
        <w:br/>
        <w:t xml:space="preserve">M </w:t>
      </w:r>
      <w:hyperlink r:id="rId8" w:history="1">
        <w:r w:rsidRPr="00A759B5">
          <w:rPr>
            <w:rStyle w:val="Hyperlink"/>
            <w:rFonts w:eastAsiaTheme="majorEastAsia"/>
          </w:rPr>
          <w:t>bernd.heusinger@koenig-bauer.com</w:t>
        </w:r>
      </w:hyperlink>
    </w:p>
    <w:p w14:paraId="0ADF2E05" w14:textId="77777777" w:rsidR="005E02AB" w:rsidRPr="00A759B5" w:rsidRDefault="005E02AB" w:rsidP="005E02AB">
      <w:pPr>
        <w:pStyle w:val="FlietextStandard"/>
      </w:pPr>
    </w:p>
    <w:p w14:paraId="2EF5233A" w14:textId="59EA44F2" w:rsidR="005E02AB" w:rsidRPr="00E3520F" w:rsidRDefault="005E02AB" w:rsidP="005E02AB">
      <w:pPr>
        <w:pStyle w:val="FlietextStandard"/>
        <w:rPr>
          <w:lang w:val="en-GB"/>
        </w:rPr>
      </w:pPr>
      <w:r w:rsidRPr="00E3520F">
        <w:rPr>
          <w:rStyle w:val="Hervorhebung"/>
          <w:lang w:val="en-GB"/>
        </w:rPr>
        <w:t>About Koenig &amp; Bauer</w:t>
      </w:r>
      <w:r w:rsidRPr="00E3520F">
        <w:rPr>
          <w:rStyle w:val="Hervorhebung"/>
          <w:lang w:val="en-GB"/>
        </w:rPr>
        <w:br/>
      </w:r>
      <w:r w:rsidRPr="00E3520F">
        <w:rPr>
          <w:lang w:val="en-GB"/>
        </w:rPr>
        <w:t xml:space="preserve">The Koenig &amp; Bauer group is a customer-centric partner to the international printing industry with annual revenue of over €1.2bn and 5,700 employees. The group is the global market and technology leader in security printing and in </w:t>
      </w:r>
      <w:r w:rsidR="00FE03A2">
        <w:rPr>
          <w:lang w:val="en-GB"/>
        </w:rPr>
        <w:t>growing</w:t>
      </w:r>
      <w:r w:rsidRPr="00E3520F">
        <w:rPr>
          <w:lang w:val="en-GB"/>
        </w:rPr>
        <w:t xml:space="preserve"> packaging printing markets. Throughout its 20</w:t>
      </w:r>
      <w:r w:rsidR="00FE03A2">
        <w:rPr>
          <w:lang w:val="en-GB"/>
        </w:rPr>
        <w:t>1</w:t>
      </w:r>
      <w:r w:rsidRPr="00E3520F">
        <w:rPr>
          <w:lang w:val="en-GB"/>
        </w:rPr>
        <w:t xml:space="preserve">-year history, it has been driven by innovation and technological progress. Systematically oriented to meeting customer requirements, its high-tech printing presses and systems permit highly efficient printing, finishing and postpress processing. Its services cover a wide range of customer-oriented offerings including networked printing. With its </w:t>
      </w:r>
      <w:r w:rsidR="00FE03A2">
        <w:rPr>
          <w:lang w:val="en-GB"/>
        </w:rPr>
        <w:t>strong</w:t>
      </w:r>
      <w:r w:rsidRPr="00E3520F">
        <w:rPr>
          <w:lang w:val="en-GB"/>
        </w:rPr>
        <w:t xml:space="preserve"> balance sheet and financial </w:t>
      </w:r>
      <w:r w:rsidR="00FE03A2">
        <w:rPr>
          <w:lang w:val="en-GB"/>
        </w:rPr>
        <w:t>power</w:t>
      </w:r>
      <w:r w:rsidRPr="00E3520F">
        <w:rPr>
          <w:lang w:val="en-GB"/>
        </w:rPr>
        <w:t xml:space="preserve">, Koenig &amp; Bauer is on a profitable </w:t>
      </w:r>
      <w:r w:rsidR="00FE03A2">
        <w:rPr>
          <w:lang w:val="en-GB"/>
        </w:rPr>
        <w:t xml:space="preserve">and sustainable </w:t>
      </w:r>
      <w:r w:rsidRPr="00E3520F">
        <w:rPr>
          <w:lang w:val="en-GB"/>
        </w:rPr>
        <w:t>growth trajectory.</w:t>
      </w:r>
    </w:p>
    <w:p w14:paraId="0D553564" w14:textId="77777777" w:rsidR="005E02AB" w:rsidRPr="00E3520F" w:rsidRDefault="005E02AB" w:rsidP="005E02AB">
      <w:pPr>
        <w:pStyle w:val="FlietextStandard"/>
        <w:rPr>
          <w:rStyle w:val="SchwacheHervorhebung"/>
          <w:lang w:val="en-GB"/>
        </w:rPr>
      </w:pPr>
      <w:r w:rsidRPr="00E3520F">
        <w:rPr>
          <w:rStyle w:val="SchwacheHervorhebung"/>
          <w:lang w:val="en-GB"/>
        </w:rPr>
        <w:t xml:space="preserve">For more information, visit </w:t>
      </w:r>
      <w:hyperlink r:id="rId9" w:history="1">
        <w:r w:rsidRPr="00E3520F">
          <w:rPr>
            <w:rStyle w:val="SchwacheHervorhebung"/>
            <w:lang w:val="en-GB"/>
          </w:rPr>
          <w:t>www.koenig-bauer.com</w:t>
        </w:r>
      </w:hyperlink>
    </w:p>
    <w:p w14:paraId="18EDF2F1" w14:textId="77777777" w:rsidR="005E02AB" w:rsidRPr="00E3520F" w:rsidRDefault="005E02AB" w:rsidP="005E02AB">
      <w:pPr>
        <w:pStyle w:val="FlietextStandard"/>
        <w:rPr>
          <w:rFonts w:eastAsiaTheme="minorEastAsia"/>
          <w:lang w:val="en-GB"/>
        </w:rPr>
      </w:pPr>
      <w:r w:rsidRPr="00E3520F">
        <w:rPr>
          <w:rFonts w:eastAsiaTheme="minorEastAsia"/>
          <w:lang w:val="en-GB"/>
        </w:rPr>
        <w:t>Disclaimer:</w:t>
      </w:r>
      <w:r w:rsidRPr="00E3520F">
        <w:rPr>
          <w:rFonts w:eastAsiaTheme="minorEastAsia"/>
          <w:lang w:val="en-GB"/>
        </w:rPr>
        <w:br/>
        <w:t>The projections contained in this press release were founded on data available at the time of issue. 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upon these projections.</w:t>
      </w:r>
    </w:p>
    <w:p w14:paraId="7B8DCCD2" w14:textId="77777777" w:rsidR="005E02AB" w:rsidRPr="00E3520F" w:rsidRDefault="005E02AB" w:rsidP="005E02AB">
      <w:pPr>
        <w:spacing w:after="240"/>
        <w:rPr>
          <w:lang w:val="en-GB"/>
        </w:rPr>
      </w:pPr>
      <w:r w:rsidRPr="00E3520F">
        <w:rPr>
          <w:lang w:val="en-GB"/>
        </w:rPr>
        <w:br w:type="page"/>
      </w:r>
    </w:p>
    <w:tbl>
      <w:tblPr>
        <w:tblStyle w:val="KoenigundBauerTabelle"/>
        <w:tblW w:w="9131" w:type="dxa"/>
        <w:tblLook w:val="04A0" w:firstRow="1" w:lastRow="0" w:firstColumn="1" w:lastColumn="0" w:noHBand="0" w:noVBand="1"/>
      </w:tblPr>
      <w:tblGrid>
        <w:gridCol w:w="3518"/>
        <w:gridCol w:w="1871"/>
        <w:gridCol w:w="1871"/>
        <w:gridCol w:w="1871"/>
      </w:tblGrid>
      <w:tr w:rsidR="005E02AB" w:rsidRPr="00E3520F" w14:paraId="21F5E50F" w14:textId="77777777" w:rsidTr="005E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hideMark/>
          </w:tcPr>
          <w:p w14:paraId="71A335D4" w14:textId="5F137456" w:rsidR="005E02AB" w:rsidRPr="00E3520F" w:rsidRDefault="005E02AB" w:rsidP="00930388">
            <w:pPr>
              <w:spacing w:after="240" w:line="280" w:lineRule="auto"/>
              <w:rPr>
                <w:lang w:val="en-GB"/>
              </w:rPr>
            </w:pPr>
            <w:r w:rsidRPr="00E3520F">
              <w:rPr>
                <w:lang w:val="en-GB"/>
              </w:rPr>
              <w:lastRenderedPageBreak/>
              <w:t xml:space="preserve">Koenig &amp; Bauer </w:t>
            </w:r>
            <w:r w:rsidR="00930388">
              <w:rPr>
                <w:lang w:val="en-GB"/>
              </w:rPr>
              <w:t>g</w:t>
            </w:r>
            <w:r w:rsidR="00E3520F">
              <w:rPr>
                <w:lang w:val="en-GB"/>
              </w:rPr>
              <w:t>roup</w:t>
            </w:r>
          </w:p>
        </w:tc>
        <w:tc>
          <w:tcPr>
            <w:tcW w:w="1871" w:type="dxa"/>
            <w:hideMark/>
          </w:tcPr>
          <w:p w14:paraId="1D54F37D" w14:textId="710E3DF7" w:rsidR="005E02AB" w:rsidRPr="00E3520F" w:rsidRDefault="005E02AB" w:rsidP="00E3520F">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E3520F">
              <w:rPr>
                <w:lang w:val="en-GB"/>
              </w:rPr>
              <w:t>31.12.2017</w:t>
            </w:r>
            <w:r w:rsidRPr="00E3520F">
              <w:rPr>
                <w:lang w:val="en-GB"/>
              </w:rPr>
              <w:br/>
              <w:t xml:space="preserve">in </w:t>
            </w:r>
            <w:r w:rsidR="00E3520F">
              <w:rPr>
                <w:lang w:val="en-GB"/>
              </w:rPr>
              <w:t>€m</w:t>
            </w:r>
          </w:p>
        </w:tc>
        <w:tc>
          <w:tcPr>
            <w:tcW w:w="1871" w:type="dxa"/>
            <w:hideMark/>
          </w:tcPr>
          <w:p w14:paraId="5F0DCFF6" w14:textId="2F3A5932" w:rsidR="005E02AB" w:rsidRPr="00E3520F" w:rsidRDefault="005E02AB" w:rsidP="00E3520F">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sidRPr="00E3520F">
              <w:rPr>
                <w:lang w:val="en-GB"/>
              </w:rPr>
              <w:t>31.12.2018</w:t>
            </w:r>
            <w:r w:rsidRPr="00E3520F">
              <w:rPr>
                <w:lang w:val="en-GB"/>
              </w:rPr>
              <w:br/>
              <w:t xml:space="preserve">in </w:t>
            </w:r>
            <w:r w:rsidR="00E3520F">
              <w:rPr>
                <w:lang w:val="en-GB"/>
              </w:rPr>
              <w:t>€m</w:t>
            </w:r>
          </w:p>
        </w:tc>
        <w:tc>
          <w:tcPr>
            <w:tcW w:w="1871" w:type="dxa"/>
            <w:hideMark/>
          </w:tcPr>
          <w:p w14:paraId="2FEFEA22" w14:textId="04FA7D11" w:rsidR="005E02AB" w:rsidRPr="00E3520F" w:rsidRDefault="00E3520F">
            <w:pPr>
              <w:spacing w:after="240" w:line="280"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Change</w:t>
            </w:r>
          </w:p>
        </w:tc>
      </w:tr>
      <w:tr w:rsidR="005E02AB" w:rsidRPr="00E3520F" w14:paraId="2546A129"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1612798" w14:textId="4562326D" w:rsidR="005E02AB" w:rsidRPr="00E3520F" w:rsidRDefault="005E02AB" w:rsidP="005E02AB">
            <w:pPr>
              <w:spacing w:after="240" w:line="280" w:lineRule="auto"/>
              <w:rPr>
                <w:lang w:val="en-GB"/>
              </w:rPr>
            </w:pPr>
            <w:r w:rsidRPr="00E3520F">
              <w:rPr>
                <w:lang w:val="en-GB"/>
              </w:rPr>
              <w:t>Revenue</w:t>
            </w:r>
            <w:r w:rsidRPr="00E3520F">
              <w:rPr>
                <w:lang w:val="en-GB"/>
              </w:rPr>
              <w:br/>
            </w:r>
            <w:r w:rsidRPr="00E3520F">
              <w:rPr>
                <w:rStyle w:val="Fett"/>
                <w:lang w:val="en-GB"/>
              </w:rPr>
              <w:t>Sheetfed</w:t>
            </w:r>
            <w:r w:rsidRPr="00E3520F">
              <w:rPr>
                <w:b w:val="0"/>
                <w:bCs/>
                <w:lang w:val="en-GB"/>
              </w:rPr>
              <w:br/>
            </w:r>
            <w:r w:rsidRPr="00E3520F">
              <w:rPr>
                <w:rStyle w:val="Fett"/>
                <w:lang w:val="en-GB"/>
              </w:rPr>
              <w:t>Digital &amp; Web</w:t>
            </w:r>
            <w:r w:rsidRPr="00E3520F">
              <w:rPr>
                <w:lang w:val="en-GB"/>
              </w:rPr>
              <w:br/>
            </w:r>
            <w:r w:rsidRPr="00E3520F">
              <w:rPr>
                <w:b w:val="0"/>
                <w:lang w:val="en-GB"/>
              </w:rPr>
              <w:t>Special</w:t>
            </w:r>
            <w:r w:rsidRPr="00E3520F">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738E66F" w14:textId="7869DF60"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rStyle w:val="Fett"/>
                <w:b w:val="0"/>
                <w:lang w:val="en-GB"/>
              </w:rPr>
            </w:pPr>
            <w:r w:rsidRPr="00E3520F">
              <w:rPr>
                <w:rStyle w:val="Fett"/>
                <w:lang w:val="en-GB"/>
              </w:rPr>
              <w:t>1,217.6</w:t>
            </w:r>
            <w:r w:rsidRPr="00E3520F">
              <w:rPr>
                <w:b/>
                <w:bCs/>
                <w:lang w:val="en-GB"/>
              </w:rPr>
              <w:br/>
            </w:r>
            <w:r w:rsidRPr="00E3520F">
              <w:rPr>
                <w:rStyle w:val="Fett"/>
                <w:lang w:val="en-GB"/>
              </w:rPr>
              <w:t>660.2</w:t>
            </w:r>
            <w:r w:rsidRPr="00E3520F">
              <w:rPr>
                <w:b/>
                <w:bCs/>
                <w:lang w:val="en-GB"/>
              </w:rPr>
              <w:br/>
            </w:r>
            <w:r w:rsidRPr="00E3520F">
              <w:rPr>
                <w:rStyle w:val="Fett"/>
                <w:lang w:val="en-GB"/>
              </w:rPr>
              <w:t>154.2</w:t>
            </w:r>
            <w:r w:rsidRPr="00E3520F">
              <w:rPr>
                <w:b/>
                <w:bCs/>
                <w:lang w:val="en-GB"/>
              </w:rPr>
              <w:br/>
            </w:r>
            <w:r w:rsidRPr="00E3520F">
              <w:rPr>
                <w:rStyle w:val="Fett"/>
                <w:lang w:val="en-GB"/>
              </w:rPr>
              <w:t>467.9</w:t>
            </w:r>
            <w:r w:rsidRPr="00E3520F">
              <w:rPr>
                <w:b/>
                <w:bCs/>
                <w:lang w:val="en-GB"/>
              </w:rPr>
              <w:br/>
            </w:r>
            <w:r w:rsidRPr="00E3520F">
              <w:rPr>
                <w:rStyle w:val="Fett"/>
                <w:lang w:val="en-GB"/>
              </w:rPr>
              <w:t>-64.7</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1CECFFAD" w14:textId="2FBB3961"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b/>
                <w:lang w:val="en-GB"/>
              </w:rPr>
              <w:t>1,226.0</w:t>
            </w:r>
            <w:r w:rsidRPr="00E3520F">
              <w:rPr>
                <w:lang w:val="en-GB"/>
              </w:rPr>
              <w:br/>
              <w:t>647.4</w:t>
            </w:r>
            <w:r w:rsidRPr="00E3520F">
              <w:rPr>
                <w:lang w:val="en-GB"/>
              </w:rPr>
              <w:br/>
              <w:t>150.7</w:t>
            </w:r>
            <w:r w:rsidRPr="00E3520F">
              <w:rPr>
                <w:lang w:val="en-GB"/>
              </w:rPr>
              <w:br/>
              <w:t>490.5</w:t>
            </w:r>
            <w:r w:rsidRPr="00E3520F">
              <w:rPr>
                <w:lang w:val="en-GB"/>
              </w:rPr>
              <w:br/>
              <w:t>-62.6</w:t>
            </w:r>
          </w:p>
        </w:tc>
        <w:tc>
          <w:tcPr>
            <w:tcW w:w="1871" w:type="dxa"/>
            <w:tcBorders>
              <w:top w:val="single" w:sz="4" w:space="0" w:color="auto"/>
              <w:left w:val="single" w:sz="48" w:space="0" w:color="FFFFFF" w:themeColor="background1"/>
              <w:bottom w:val="single" w:sz="4" w:space="0" w:color="auto"/>
              <w:right w:val="nil"/>
            </w:tcBorders>
            <w:hideMark/>
          </w:tcPr>
          <w:p w14:paraId="4B195109" w14:textId="3F5F399F"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b/>
                <w:lang w:val="en-GB"/>
              </w:rPr>
              <w:t>+ 0.7%</w:t>
            </w:r>
            <w:r w:rsidRPr="00E3520F">
              <w:rPr>
                <w:lang w:val="en-GB"/>
              </w:rPr>
              <w:br/>
              <w:t>- 1.9%</w:t>
            </w:r>
            <w:r w:rsidRPr="00E3520F">
              <w:rPr>
                <w:lang w:val="en-GB"/>
              </w:rPr>
              <w:br/>
              <w:t>- 2.3%</w:t>
            </w:r>
            <w:r w:rsidRPr="00E3520F">
              <w:rPr>
                <w:lang w:val="en-GB"/>
              </w:rPr>
              <w:br/>
              <w:t>+ 4.8%</w:t>
            </w:r>
          </w:p>
        </w:tc>
      </w:tr>
      <w:tr w:rsidR="005E02AB" w:rsidRPr="00E3520F" w14:paraId="21F2679E"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21A16209" w14:textId="4CE221A2" w:rsidR="005E02AB" w:rsidRPr="00E3520F" w:rsidRDefault="005E02AB" w:rsidP="00E3520F">
            <w:pPr>
              <w:spacing w:after="240" w:line="280" w:lineRule="auto"/>
              <w:rPr>
                <w:lang w:val="en-GB"/>
              </w:rPr>
            </w:pPr>
            <w:r w:rsidRPr="00E3520F">
              <w:rPr>
                <w:lang w:val="en-GB"/>
              </w:rPr>
              <w:t>Order intake</w:t>
            </w:r>
            <w:r w:rsidRPr="00E3520F">
              <w:rPr>
                <w:lang w:val="en-GB"/>
              </w:rPr>
              <w:br/>
            </w:r>
            <w:r w:rsidRPr="00E3520F">
              <w:rPr>
                <w:rStyle w:val="Fett"/>
                <w:lang w:val="en-GB"/>
              </w:rPr>
              <w:t>Sheetfed</w:t>
            </w:r>
            <w:r w:rsidRPr="00E3520F">
              <w:rPr>
                <w:b w:val="0"/>
                <w:bCs/>
                <w:lang w:val="en-GB"/>
              </w:rPr>
              <w:br/>
            </w:r>
            <w:r w:rsidRPr="00E3520F">
              <w:rPr>
                <w:rStyle w:val="Fett"/>
                <w:lang w:val="en-GB"/>
              </w:rPr>
              <w:t>Digital &amp; Web</w:t>
            </w:r>
            <w:r w:rsidRPr="00E3520F">
              <w:rPr>
                <w:lang w:val="en-GB"/>
              </w:rPr>
              <w:br/>
            </w:r>
            <w:r w:rsidRPr="00E3520F">
              <w:rPr>
                <w:b w:val="0"/>
                <w:lang w:val="en-GB"/>
              </w:rPr>
              <w:t>Special</w:t>
            </w:r>
            <w:r w:rsidRPr="00E3520F">
              <w:rPr>
                <w:b w:val="0"/>
                <w:lang w:val="en-GB"/>
              </w:rPr>
              <w:br/>
            </w:r>
            <w:r w:rsidR="00E3520F">
              <w:rPr>
                <w:b w:val="0"/>
                <w:lang w:val="en-GB"/>
              </w:rP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73AB954" w14:textId="7FEC318F"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b/>
                <w:lang w:val="en-GB"/>
              </w:rPr>
              <w:t>1,266.3</w:t>
            </w:r>
            <w:r w:rsidRPr="00E3520F">
              <w:rPr>
                <w:lang w:val="en-GB"/>
              </w:rPr>
              <w:br/>
              <w:t>656.2</w:t>
            </w:r>
            <w:r w:rsidRPr="00E3520F">
              <w:rPr>
                <w:lang w:val="en-GB"/>
              </w:rPr>
              <w:br/>
              <w:t>139.6</w:t>
            </w:r>
            <w:r w:rsidRPr="00E3520F">
              <w:rPr>
                <w:lang w:val="en-GB"/>
              </w:rPr>
              <w:br/>
              <w:t>533.7</w:t>
            </w:r>
            <w:r w:rsidRPr="00E3520F">
              <w:rPr>
                <w:lang w:val="en-GB"/>
              </w:rPr>
              <w:br/>
              <w:t>-63.2</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2E49EFD" w14:textId="687220C1"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rStyle w:val="Fett"/>
                <w:lang w:val="en-GB"/>
              </w:rPr>
              <w:t>1,222.0</w:t>
            </w:r>
            <w:r w:rsidRPr="00E3520F">
              <w:rPr>
                <w:lang w:val="en-GB"/>
              </w:rPr>
              <w:br/>
              <w:t>613.0</w:t>
            </w:r>
            <w:r w:rsidRPr="00E3520F">
              <w:rPr>
                <w:lang w:val="en-GB"/>
              </w:rPr>
              <w:br/>
              <w:t>167.6</w:t>
            </w:r>
            <w:r w:rsidRPr="00E3520F">
              <w:rPr>
                <w:lang w:val="en-GB"/>
              </w:rPr>
              <w:br/>
              <w:t>502.4</w:t>
            </w:r>
            <w:r w:rsidRPr="00E3520F">
              <w:rPr>
                <w:lang w:val="en-GB"/>
              </w:rPr>
              <w:br/>
              <w:t>-61.0</w:t>
            </w:r>
          </w:p>
        </w:tc>
        <w:tc>
          <w:tcPr>
            <w:tcW w:w="1871" w:type="dxa"/>
            <w:tcBorders>
              <w:top w:val="single" w:sz="4" w:space="0" w:color="auto"/>
              <w:left w:val="single" w:sz="48" w:space="0" w:color="FFFFFF" w:themeColor="background1"/>
              <w:bottom w:val="single" w:sz="4" w:space="0" w:color="auto"/>
              <w:right w:val="nil"/>
            </w:tcBorders>
            <w:hideMark/>
          </w:tcPr>
          <w:p w14:paraId="07B410BA" w14:textId="76EE0A12"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rStyle w:val="Fett"/>
                <w:lang w:val="en-GB"/>
              </w:rPr>
              <w:t>- 3.5%</w:t>
            </w:r>
            <w:r w:rsidRPr="00E3520F">
              <w:rPr>
                <w:lang w:val="en-GB"/>
              </w:rPr>
              <w:br/>
              <w:t>- 6,6%</w:t>
            </w:r>
            <w:r w:rsidRPr="00E3520F">
              <w:rPr>
                <w:lang w:val="en-GB"/>
              </w:rPr>
              <w:br/>
              <w:t>+ 20,1%</w:t>
            </w:r>
            <w:r w:rsidRPr="00E3520F">
              <w:rPr>
                <w:lang w:val="en-GB"/>
              </w:rPr>
              <w:br/>
              <w:t>- 5,9%</w:t>
            </w:r>
          </w:p>
        </w:tc>
      </w:tr>
      <w:tr w:rsidR="005E02AB" w:rsidRPr="00E3520F" w14:paraId="46913C30"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B7DED24" w14:textId="3FD4C71E" w:rsidR="005E02AB" w:rsidRPr="00E3520F" w:rsidRDefault="005E02AB" w:rsidP="005E02AB">
            <w:pPr>
              <w:spacing w:after="240" w:line="280" w:lineRule="auto"/>
              <w:rPr>
                <w:lang w:val="en-GB"/>
              </w:rPr>
            </w:pPr>
            <w:r w:rsidRPr="00E3520F">
              <w:rPr>
                <w:lang w:val="en-GB"/>
              </w:rPr>
              <w:t>Order backlog</w:t>
            </w:r>
            <w:r w:rsidRPr="00E3520F">
              <w:rPr>
                <w:lang w:val="en-GB"/>
              </w:rPr>
              <w:br/>
            </w:r>
            <w:r w:rsidRPr="00E3520F">
              <w:rPr>
                <w:rStyle w:val="Fett"/>
                <w:lang w:val="en-GB"/>
              </w:rPr>
              <w:t>Sheetfed</w:t>
            </w:r>
            <w:r w:rsidRPr="00E3520F">
              <w:rPr>
                <w:b w:val="0"/>
                <w:bCs/>
                <w:lang w:val="en-GB"/>
              </w:rPr>
              <w:br/>
            </w:r>
            <w:r w:rsidRPr="00E3520F">
              <w:rPr>
                <w:rStyle w:val="Fett"/>
                <w:lang w:val="en-GB"/>
              </w:rPr>
              <w:t>Digital &amp; Web</w:t>
            </w:r>
            <w:r w:rsidRPr="00E3520F">
              <w:rPr>
                <w:lang w:val="en-GB"/>
              </w:rPr>
              <w:br/>
            </w:r>
            <w:r w:rsidRPr="00E3520F">
              <w:rPr>
                <w:b w:val="0"/>
                <w:lang w:val="en-GB"/>
              </w:rPr>
              <w:t>Special</w:t>
            </w:r>
            <w:r w:rsidRPr="00E3520F">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8FF68A0" w14:textId="229E15BE"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rStyle w:val="Fett"/>
                <w:lang w:val="en-GB"/>
              </w:rPr>
              <w:t>606.2</w:t>
            </w:r>
            <w:r w:rsidRPr="00E3520F">
              <w:rPr>
                <w:lang w:val="en-GB"/>
              </w:rPr>
              <w:br/>
              <w:t>233.5</w:t>
            </w:r>
            <w:r w:rsidRPr="00E3520F">
              <w:rPr>
                <w:lang w:val="en-GB"/>
              </w:rPr>
              <w:br/>
              <w:t>61.5</w:t>
            </w:r>
            <w:r w:rsidRPr="00E3520F">
              <w:rPr>
                <w:lang w:val="en-GB"/>
              </w:rPr>
              <w:br/>
              <w:t>324.0</w:t>
            </w:r>
            <w:r w:rsidRPr="00E3520F">
              <w:rPr>
                <w:lang w:val="en-GB"/>
              </w:rPr>
              <w:br/>
              <w:t>-12.8</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95DA75A" w14:textId="505DBC46"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rStyle w:val="Fett"/>
                <w:lang w:val="en-GB"/>
              </w:rPr>
              <w:t>610.9</w:t>
            </w:r>
            <w:r w:rsidRPr="00E3520F">
              <w:rPr>
                <w:lang w:val="en-GB"/>
              </w:rPr>
              <w:br/>
              <w:t>199.1</w:t>
            </w:r>
            <w:r w:rsidRPr="00E3520F">
              <w:rPr>
                <w:lang w:val="en-GB"/>
              </w:rPr>
              <w:br/>
              <w:t>78.4</w:t>
            </w:r>
            <w:r w:rsidRPr="00E3520F">
              <w:rPr>
                <w:lang w:val="en-GB"/>
              </w:rPr>
              <w:br/>
              <w:t>344.6</w:t>
            </w:r>
            <w:r w:rsidRPr="00E3520F">
              <w:rPr>
                <w:lang w:val="en-GB"/>
              </w:rPr>
              <w:br/>
              <w:t>-11.2</w:t>
            </w:r>
          </w:p>
        </w:tc>
        <w:tc>
          <w:tcPr>
            <w:tcW w:w="1871" w:type="dxa"/>
            <w:tcBorders>
              <w:top w:val="single" w:sz="4" w:space="0" w:color="auto"/>
              <w:left w:val="single" w:sz="48" w:space="0" w:color="FFFFFF" w:themeColor="background1"/>
              <w:bottom w:val="single" w:sz="4" w:space="0" w:color="auto"/>
              <w:right w:val="nil"/>
            </w:tcBorders>
            <w:hideMark/>
          </w:tcPr>
          <w:p w14:paraId="78EA10BE" w14:textId="00092461"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rStyle w:val="Fett"/>
                <w:lang w:val="en-GB"/>
              </w:rPr>
              <w:t>+ 0.8%</w:t>
            </w:r>
            <w:r w:rsidRPr="00E3520F">
              <w:rPr>
                <w:lang w:val="en-GB"/>
              </w:rPr>
              <w:br/>
              <w:t>- 14.7%</w:t>
            </w:r>
            <w:r w:rsidRPr="00E3520F">
              <w:rPr>
                <w:lang w:val="en-GB"/>
              </w:rPr>
              <w:br/>
              <w:t>+ 27.5%</w:t>
            </w:r>
            <w:r w:rsidRPr="00E3520F">
              <w:rPr>
                <w:lang w:val="en-GB"/>
              </w:rPr>
              <w:br/>
              <w:t>+ 6.4%</w:t>
            </w:r>
          </w:p>
        </w:tc>
      </w:tr>
      <w:tr w:rsidR="005E02AB" w:rsidRPr="00E3520F" w14:paraId="342EB580"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4CBEDE52" w14:textId="2300DF49" w:rsidR="005E02AB" w:rsidRPr="00E3520F" w:rsidRDefault="005E02AB" w:rsidP="005E02AB">
            <w:pPr>
              <w:spacing w:after="240" w:line="280" w:lineRule="auto"/>
              <w:rPr>
                <w:lang w:val="en-GB"/>
              </w:rPr>
            </w:pPr>
            <w:r w:rsidRPr="00E3520F">
              <w:rPr>
                <w:lang w:val="en-GB"/>
              </w:rPr>
              <w:t>EBIT</w:t>
            </w:r>
            <w:r w:rsidRPr="00E3520F">
              <w:rPr>
                <w:lang w:val="en-GB"/>
              </w:rPr>
              <w:br/>
            </w:r>
            <w:r w:rsidRPr="00E3520F">
              <w:rPr>
                <w:rStyle w:val="Fett"/>
                <w:lang w:val="en-GB"/>
              </w:rPr>
              <w:t>Sheetfed</w:t>
            </w:r>
            <w:r w:rsidRPr="00E3520F">
              <w:rPr>
                <w:b w:val="0"/>
                <w:bCs/>
                <w:lang w:val="en-GB"/>
              </w:rPr>
              <w:br/>
            </w:r>
            <w:r w:rsidRPr="00E3520F">
              <w:rPr>
                <w:rStyle w:val="Fett"/>
                <w:lang w:val="en-GB"/>
              </w:rPr>
              <w:t>Digital &amp; Web</w:t>
            </w:r>
            <w:r w:rsidRPr="00E3520F">
              <w:rPr>
                <w:lang w:val="en-GB"/>
              </w:rPr>
              <w:br/>
            </w:r>
            <w:r w:rsidRPr="00E3520F">
              <w:rPr>
                <w:b w:val="0"/>
                <w:lang w:val="en-GB"/>
              </w:rPr>
              <w:t>Special</w:t>
            </w:r>
            <w:r w:rsidRPr="00E3520F">
              <w:rPr>
                <w:b w:val="0"/>
                <w:lang w:val="en-GB"/>
              </w:rPr>
              <w:br/>
              <w:t>Reconciliation</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163C44F" w14:textId="5D0B2F49"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rStyle w:val="Fett"/>
                <w:lang w:val="en-GB"/>
              </w:rPr>
              <w:t>81.4</w:t>
            </w:r>
            <w:r w:rsidRPr="00E3520F">
              <w:rPr>
                <w:lang w:val="en-GB"/>
              </w:rPr>
              <w:br/>
              <w:t>37.5</w:t>
            </w:r>
            <w:r w:rsidRPr="00E3520F">
              <w:rPr>
                <w:lang w:val="en-GB"/>
              </w:rPr>
              <w:br/>
              <w:t>-4.3</w:t>
            </w:r>
            <w:r w:rsidRPr="00E3520F">
              <w:rPr>
                <w:lang w:val="en-GB"/>
              </w:rPr>
              <w:br/>
              <w:t>53.7</w:t>
            </w:r>
            <w:r w:rsidRPr="00E3520F">
              <w:rPr>
                <w:lang w:val="en-GB"/>
              </w:rPr>
              <w:br/>
              <w:t>-5.5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B6EE057" w14:textId="05719CA7"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r w:rsidRPr="00E3520F">
              <w:rPr>
                <w:rStyle w:val="Fett"/>
                <w:lang w:val="en-GB"/>
              </w:rPr>
              <w:t>87.4</w:t>
            </w:r>
            <w:r w:rsidRPr="00E3520F">
              <w:rPr>
                <w:lang w:val="en-GB"/>
              </w:rPr>
              <w:br/>
              <w:t>36.5</w:t>
            </w:r>
            <w:r w:rsidRPr="00E3520F">
              <w:rPr>
                <w:lang w:val="en-GB"/>
              </w:rPr>
              <w:br/>
              <w:t>-10.5</w:t>
            </w:r>
            <w:r w:rsidRPr="00E3520F">
              <w:rPr>
                <w:lang w:val="en-GB"/>
              </w:rPr>
              <w:br/>
              <w:t>49.7</w:t>
            </w:r>
            <w:r w:rsidRPr="00E3520F">
              <w:rPr>
                <w:lang w:val="en-GB"/>
              </w:rPr>
              <w:br/>
              <w:t>11.7</w:t>
            </w:r>
          </w:p>
        </w:tc>
        <w:tc>
          <w:tcPr>
            <w:tcW w:w="1871" w:type="dxa"/>
            <w:tcBorders>
              <w:top w:val="single" w:sz="4" w:space="0" w:color="auto"/>
              <w:left w:val="single" w:sz="48" w:space="0" w:color="FFFFFF" w:themeColor="background1"/>
              <w:bottom w:val="single" w:sz="4" w:space="0" w:color="auto"/>
              <w:right w:val="nil"/>
            </w:tcBorders>
          </w:tcPr>
          <w:p w14:paraId="67A15B0B"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lang w:val="en-GB"/>
              </w:rPr>
            </w:pPr>
          </w:p>
        </w:tc>
      </w:tr>
      <w:tr w:rsidR="005E02AB" w:rsidRPr="00E3520F" w14:paraId="25349EBD"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EF5B6AE" w14:textId="1997A413" w:rsidR="005E02AB" w:rsidRPr="00E3520F" w:rsidRDefault="005E02AB">
            <w:pPr>
              <w:spacing w:after="240" w:line="280" w:lineRule="auto"/>
              <w:rPr>
                <w:lang w:val="en-GB"/>
              </w:rPr>
            </w:pPr>
            <w:r w:rsidRPr="00E3520F">
              <w:rPr>
                <w:lang w:val="en-GB"/>
              </w:rPr>
              <w:t>Earnings before taxes (EBT)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36E207B" w14:textId="2AD48B10"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78.5</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2E0DE7C" w14:textId="6F2E9084"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83.9</w:t>
            </w:r>
          </w:p>
        </w:tc>
        <w:tc>
          <w:tcPr>
            <w:tcW w:w="1871" w:type="dxa"/>
            <w:tcBorders>
              <w:top w:val="single" w:sz="4" w:space="0" w:color="auto"/>
              <w:left w:val="single" w:sz="48" w:space="0" w:color="FFFFFF" w:themeColor="background1"/>
              <w:bottom w:val="single" w:sz="4" w:space="0" w:color="auto"/>
              <w:right w:val="nil"/>
            </w:tcBorders>
          </w:tcPr>
          <w:p w14:paraId="27C3FFAF"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E02AB" w:rsidRPr="00E3520F" w14:paraId="7B3697AB"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EBA7B0B" w14:textId="6DA1DE43" w:rsidR="005E02AB" w:rsidRPr="00E3520F" w:rsidRDefault="005E02AB">
            <w:pPr>
              <w:spacing w:after="240" w:line="280" w:lineRule="auto"/>
              <w:rPr>
                <w:lang w:val="en-GB"/>
              </w:rPr>
            </w:pPr>
            <w:r w:rsidRPr="00E3520F">
              <w:rPr>
                <w:lang w:val="en-GB"/>
              </w:rPr>
              <w:t>Net profit</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30F52A8" w14:textId="3429FB2F"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81.1</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7DE29BAB" w14:textId="192B7BDC"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64.0</w:t>
            </w:r>
          </w:p>
        </w:tc>
        <w:tc>
          <w:tcPr>
            <w:tcW w:w="1871" w:type="dxa"/>
            <w:tcBorders>
              <w:top w:val="single" w:sz="4" w:space="0" w:color="auto"/>
              <w:left w:val="single" w:sz="48" w:space="0" w:color="FFFFFF" w:themeColor="background1"/>
              <w:bottom w:val="single" w:sz="4" w:space="0" w:color="auto"/>
              <w:right w:val="nil"/>
            </w:tcBorders>
          </w:tcPr>
          <w:p w14:paraId="797AE881"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E02AB" w:rsidRPr="00E3520F" w14:paraId="384299F1"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7865703B" w14:textId="11B51BCE" w:rsidR="005E02AB" w:rsidRPr="00E3520F" w:rsidRDefault="005E02AB">
            <w:pPr>
              <w:spacing w:after="240" w:line="280" w:lineRule="auto"/>
              <w:rPr>
                <w:lang w:val="en-GB"/>
              </w:rPr>
            </w:pPr>
            <w:r w:rsidRPr="00E3520F">
              <w:rPr>
                <w:lang w:val="en-GB"/>
              </w:rPr>
              <w:t>Earnings per share in €</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668F840A" w14:textId="67DEE07F" w:rsidR="005E02AB" w:rsidRPr="00E3520F" w:rsidRDefault="005E02AB" w:rsidP="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4.91</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2AC9502C" w14:textId="6BFAD4F0"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3.86</w:t>
            </w:r>
          </w:p>
        </w:tc>
        <w:tc>
          <w:tcPr>
            <w:tcW w:w="1871" w:type="dxa"/>
            <w:tcBorders>
              <w:top w:val="single" w:sz="4" w:space="0" w:color="auto"/>
              <w:left w:val="single" w:sz="48" w:space="0" w:color="FFFFFF" w:themeColor="background1"/>
              <w:bottom w:val="single" w:sz="4" w:space="0" w:color="auto"/>
              <w:right w:val="nil"/>
            </w:tcBorders>
          </w:tcPr>
          <w:p w14:paraId="081567FA"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E02AB" w:rsidRPr="00E3520F" w14:paraId="15569A75"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6E188E43" w14:textId="6594CD6E" w:rsidR="005E02AB" w:rsidRPr="00E3520F" w:rsidRDefault="005E02AB" w:rsidP="005E02AB">
            <w:pPr>
              <w:spacing w:after="240" w:line="280" w:lineRule="auto"/>
              <w:rPr>
                <w:lang w:val="en-GB"/>
              </w:rPr>
            </w:pPr>
            <w:r w:rsidRPr="00E3520F">
              <w:rPr>
                <w:lang w:val="en-GB"/>
              </w:rPr>
              <w:t>Cash flows from operating</w:t>
            </w:r>
            <w:r w:rsidRPr="00E3520F">
              <w:rPr>
                <w:lang w:val="en-GB"/>
              </w:rPr>
              <w:br/>
              <w:t>activities</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3F1686C4"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23,8</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E3CF2BB"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66,3</w:t>
            </w:r>
          </w:p>
        </w:tc>
        <w:tc>
          <w:tcPr>
            <w:tcW w:w="1871" w:type="dxa"/>
            <w:tcBorders>
              <w:top w:val="single" w:sz="4" w:space="0" w:color="auto"/>
              <w:left w:val="single" w:sz="48" w:space="0" w:color="FFFFFF" w:themeColor="background1"/>
              <w:bottom w:val="single" w:sz="4" w:space="0" w:color="auto"/>
              <w:right w:val="nil"/>
            </w:tcBorders>
          </w:tcPr>
          <w:p w14:paraId="6338CE7E"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E02AB" w:rsidRPr="00E3520F" w14:paraId="6648E64F"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36703673" w14:textId="6386DD79" w:rsidR="005E02AB" w:rsidRPr="00E3520F" w:rsidRDefault="00E3520F">
            <w:pPr>
              <w:spacing w:after="240" w:line="280" w:lineRule="auto"/>
              <w:rPr>
                <w:lang w:val="en-GB"/>
              </w:rPr>
            </w:pPr>
            <w:r w:rsidRPr="00E3520F">
              <w:rPr>
                <w:lang w:val="en-GB"/>
              </w:rPr>
              <w:t>Balance sheet total</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09E5993F" w14:textId="0D8776DF" w:rsidR="005E02AB" w:rsidRPr="00E3520F" w:rsidRDefault="005E02AB" w:rsidP="00E3520F">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1</w:t>
            </w:r>
            <w:r w:rsidR="00E3520F" w:rsidRPr="00E3520F">
              <w:rPr>
                <w:b/>
                <w:lang w:val="en-GB"/>
              </w:rPr>
              <w:t>,</w:t>
            </w:r>
            <w:r w:rsidRPr="00E3520F">
              <w:rPr>
                <w:b/>
                <w:lang w:val="en-GB"/>
              </w:rPr>
              <w:t>163</w:t>
            </w:r>
            <w:r w:rsidR="00E3520F" w:rsidRPr="00E3520F">
              <w:rPr>
                <w:b/>
                <w:lang w:val="en-GB"/>
              </w:rPr>
              <w:t>.</w:t>
            </w:r>
            <w:r w:rsidRPr="00E3520F">
              <w:rPr>
                <w:b/>
                <w:lang w:val="en-GB"/>
              </w:rPr>
              <w:t>9</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834B398" w14:textId="711F4ED5" w:rsidR="005E02AB" w:rsidRPr="00E3520F" w:rsidRDefault="005E02AB" w:rsidP="00E3520F">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1</w:t>
            </w:r>
            <w:r w:rsidR="00E3520F" w:rsidRPr="00E3520F">
              <w:rPr>
                <w:b/>
                <w:lang w:val="en-GB"/>
              </w:rPr>
              <w:t>,</w:t>
            </w:r>
            <w:r w:rsidRPr="00E3520F">
              <w:rPr>
                <w:b/>
                <w:lang w:val="en-GB"/>
              </w:rPr>
              <w:t>178</w:t>
            </w:r>
            <w:r w:rsidR="00E3520F" w:rsidRPr="00E3520F">
              <w:rPr>
                <w:b/>
                <w:lang w:val="en-GB"/>
              </w:rPr>
              <w:t>.</w:t>
            </w:r>
            <w:r w:rsidRPr="00E3520F">
              <w:rPr>
                <w:b/>
                <w:lang w:val="en-GB"/>
              </w:rPr>
              <w:t>3</w:t>
            </w:r>
          </w:p>
        </w:tc>
        <w:tc>
          <w:tcPr>
            <w:tcW w:w="1871" w:type="dxa"/>
            <w:tcBorders>
              <w:top w:val="single" w:sz="4" w:space="0" w:color="auto"/>
              <w:left w:val="single" w:sz="48" w:space="0" w:color="FFFFFF" w:themeColor="background1"/>
              <w:bottom w:val="single" w:sz="4" w:space="0" w:color="auto"/>
              <w:right w:val="nil"/>
            </w:tcBorders>
          </w:tcPr>
          <w:p w14:paraId="28DAA06B"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E02AB" w:rsidRPr="00E3520F" w14:paraId="0B4011F6"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single" w:sz="4" w:space="0" w:color="auto"/>
              <w:right w:val="single" w:sz="48" w:space="0" w:color="FFFFFF" w:themeColor="background1"/>
            </w:tcBorders>
            <w:hideMark/>
          </w:tcPr>
          <w:p w14:paraId="15B862CE" w14:textId="4447710C" w:rsidR="005E02AB" w:rsidRPr="00E3520F" w:rsidRDefault="00E3520F">
            <w:pPr>
              <w:spacing w:after="240" w:line="280" w:lineRule="auto"/>
              <w:rPr>
                <w:lang w:val="en-GB"/>
              </w:rPr>
            </w:pPr>
            <w:r w:rsidRPr="00E3520F">
              <w:rPr>
                <w:lang w:val="en-GB"/>
              </w:rPr>
              <w:t>Equity</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5DB34736" w14:textId="45E89931" w:rsidR="005E02AB" w:rsidRPr="00E3520F" w:rsidRDefault="005E02AB" w:rsidP="00E3520F">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424</w:t>
            </w:r>
            <w:r w:rsidR="00E3520F" w:rsidRPr="00E3520F">
              <w:rPr>
                <w:b/>
                <w:lang w:val="en-GB"/>
              </w:rPr>
              <w:t>.</w:t>
            </w:r>
            <w:r w:rsidRPr="00E3520F">
              <w:rPr>
                <w:b/>
                <w:lang w:val="en-GB"/>
              </w:rPr>
              <w:t>0</w:t>
            </w:r>
          </w:p>
        </w:tc>
        <w:tc>
          <w:tcPr>
            <w:tcW w:w="1871" w:type="dxa"/>
            <w:tcBorders>
              <w:top w:val="single" w:sz="4" w:space="0" w:color="auto"/>
              <w:left w:val="single" w:sz="48" w:space="0" w:color="FFFFFF" w:themeColor="background1"/>
              <w:bottom w:val="single" w:sz="4" w:space="0" w:color="auto"/>
              <w:right w:val="single" w:sz="48" w:space="0" w:color="FFFFFF" w:themeColor="background1"/>
            </w:tcBorders>
            <w:hideMark/>
          </w:tcPr>
          <w:p w14:paraId="41BFBC4E" w14:textId="325F49E2" w:rsidR="005E02AB" w:rsidRPr="00E3520F" w:rsidRDefault="005E02AB" w:rsidP="00E3520F">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453</w:t>
            </w:r>
            <w:r w:rsidR="00E3520F" w:rsidRPr="00E3520F">
              <w:rPr>
                <w:b/>
                <w:lang w:val="en-GB"/>
              </w:rPr>
              <w:t>.</w:t>
            </w:r>
            <w:r w:rsidRPr="00E3520F">
              <w:rPr>
                <w:b/>
                <w:lang w:val="en-GB"/>
              </w:rPr>
              <w:t>4</w:t>
            </w:r>
          </w:p>
        </w:tc>
        <w:tc>
          <w:tcPr>
            <w:tcW w:w="1871" w:type="dxa"/>
            <w:tcBorders>
              <w:top w:val="single" w:sz="4" w:space="0" w:color="auto"/>
              <w:left w:val="single" w:sz="48" w:space="0" w:color="FFFFFF" w:themeColor="background1"/>
              <w:bottom w:val="single" w:sz="4" w:space="0" w:color="auto"/>
              <w:right w:val="nil"/>
            </w:tcBorders>
          </w:tcPr>
          <w:p w14:paraId="73A7E66E"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r w:rsidR="005E02AB" w:rsidRPr="00E3520F" w14:paraId="51D43B87" w14:textId="77777777" w:rsidTr="005E02AB">
        <w:tc>
          <w:tcPr>
            <w:cnfStyle w:val="001000000000" w:firstRow="0" w:lastRow="0" w:firstColumn="1" w:lastColumn="0" w:oddVBand="0" w:evenVBand="0" w:oddHBand="0" w:evenHBand="0" w:firstRowFirstColumn="0" w:firstRowLastColumn="0" w:lastRowFirstColumn="0" w:lastRowLastColumn="0"/>
            <w:tcW w:w="3518" w:type="dxa"/>
            <w:tcBorders>
              <w:top w:val="single" w:sz="4" w:space="0" w:color="auto"/>
              <w:left w:val="nil"/>
              <w:bottom w:val="nil"/>
              <w:right w:val="single" w:sz="48" w:space="0" w:color="FFFFFF" w:themeColor="background1"/>
            </w:tcBorders>
            <w:hideMark/>
          </w:tcPr>
          <w:p w14:paraId="33FDB18E" w14:textId="70ABDB67" w:rsidR="005E02AB" w:rsidRPr="00E3520F" w:rsidRDefault="00E3520F" w:rsidP="00E3520F">
            <w:pPr>
              <w:spacing w:after="240" w:line="280" w:lineRule="auto"/>
              <w:rPr>
                <w:lang w:val="en-GB"/>
              </w:rPr>
            </w:pPr>
            <w:r w:rsidRPr="00E3520F">
              <w:rPr>
                <w:lang w:val="en-GB"/>
              </w:rPr>
              <w:t>Employees (</w:t>
            </w:r>
            <w:r w:rsidR="005E02AB" w:rsidRPr="00E3520F">
              <w:rPr>
                <w:lang w:val="en-GB"/>
              </w:rPr>
              <w:t>31</w:t>
            </w:r>
            <w:r w:rsidRPr="00E3520F">
              <w:rPr>
                <w:lang w:val="en-GB"/>
              </w:rPr>
              <w:t xml:space="preserve"> December)</w:t>
            </w:r>
            <w:r w:rsidR="005E02AB" w:rsidRPr="00E3520F">
              <w:rPr>
                <w:lang w:val="en-GB"/>
              </w:rPr>
              <w:br/>
            </w:r>
            <w:r w:rsidRPr="00E3520F">
              <w:rPr>
                <w:b w:val="0"/>
                <w:lang w:val="en-GB"/>
              </w:rPr>
              <w:t>thereof apprentices/students</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26916E5A" w14:textId="72920E7F" w:rsidR="005E02AB" w:rsidRPr="00E3520F" w:rsidRDefault="005E02AB" w:rsidP="00E3520F">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5</w:t>
            </w:r>
            <w:r w:rsidR="00E3520F" w:rsidRPr="00E3520F">
              <w:rPr>
                <w:b/>
                <w:lang w:val="en-GB"/>
              </w:rPr>
              <w:t>,</w:t>
            </w:r>
            <w:r w:rsidRPr="00E3520F">
              <w:rPr>
                <w:b/>
                <w:lang w:val="en-GB"/>
              </w:rPr>
              <w:t>589</w:t>
            </w:r>
            <w:r w:rsidRPr="00E3520F">
              <w:rPr>
                <w:b/>
                <w:lang w:val="en-GB"/>
              </w:rPr>
              <w:br/>
            </w:r>
            <w:r w:rsidRPr="00E3520F">
              <w:rPr>
                <w:lang w:val="en-GB"/>
              </w:rPr>
              <w:t>358</w:t>
            </w:r>
          </w:p>
        </w:tc>
        <w:tc>
          <w:tcPr>
            <w:tcW w:w="1871" w:type="dxa"/>
            <w:tcBorders>
              <w:top w:val="single" w:sz="4" w:space="0" w:color="auto"/>
              <w:left w:val="single" w:sz="48" w:space="0" w:color="FFFFFF" w:themeColor="background1"/>
              <w:bottom w:val="nil"/>
              <w:right w:val="single" w:sz="48" w:space="0" w:color="FFFFFF" w:themeColor="background1"/>
            </w:tcBorders>
            <w:hideMark/>
          </w:tcPr>
          <w:p w14:paraId="34433D66" w14:textId="6E2CCC99" w:rsidR="005E02AB" w:rsidRPr="00E3520F" w:rsidRDefault="005E02AB" w:rsidP="00E3520F">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r w:rsidRPr="00E3520F">
              <w:rPr>
                <w:b/>
                <w:lang w:val="en-GB"/>
              </w:rPr>
              <w:t>5</w:t>
            </w:r>
            <w:r w:rsidR="00E3520F" w:rsidRPr="00E3520F">
              <w:rPr>
                <w:b/>
                <w:lang w:val="en-GB"/>
              </w:rPr>
              <w:t>,</w:t>
            </w:r>
            <w:r w:rsidRPr="00E3520F">
              <w:rPr>
                <w:b/>
                <w:lang w:val="en-GB"/>
              </w:rPr>
              <w:t>729</w:t>
            </w:r>
            <w:r w:rsidRPr="00E3520F">
              <w:rPr>
                <w:b/>
                <w:lang w:val="en-GB"/>
              </w:rPr>
              <w:br/>
            </w:r>
            <w:r w:rsidRPr="00E3520F">
              <w:rPr>
                <w:lang w:val="en-GB"/>
              </w:rPr>
              <w:t>337</w:t>
            </w:r>
          </w:p>
        </w:tc>
        <w:tc>
          <w:tcPr>
            <w:tcW w:w="1871" w:type="dxa"/>
            <w:tcBorders>
              <w:top w:val="single" w:sz="4" w:space="0" w:color="auto"/>
              <w:left w:val="single" w:sz="48" w:space="0" w:color="FFFFFF" w:themeColor="background1"/>
              <w:bottom w:val="nil"/>
              <w:right w:val="nil"/>
            </w:tcBorders>
          </w:tcPr>
          <w:p w14:paraId="12974F91" w14:textId="77777777" w:rsidR="005E02AB" w:rsidRPr="00E3520F" w:rsidRDefault="005E02AB">
            <w:pPr>
              <w:spacing w:after="240" w:line="280" w:lineRule="auto"/>
              <w:jc w:val="right"/>
              <w:cnfStyle w:val="000000000000" w:firstRow="0" w:lastRow="0" w:firstColumn="0" w:lastColumn="0" w:oddVBand="0" w:evenVBand="0" w:oddHBand="0" w:evenHBand="0" w:firstRowFirstColumn="0" w:firstRowLastColumn="0" w:lastRowFirstColumn="0" w:lastRowLastColumn="0"/>
              <w:rPr>
                <w:b/>
                <w:lang w:val="en-GB"/>
              </w:rPr>
            </w:pPr>
          </w:p>
        </w:tc>
      </w:tr>
    </w:tbl>
    <w:p w14:paraId="378A0583" w14:textId="2D524D7E" w:rsidR="005E02AB" w:rsidRPr="00E3520F" w:rsidRDefault="005E02AB" w:rsidP="00584EAD">
      <w:pPr>
        <w:spacing w:after="240"/>
        <w:rPr>
          <w:lang w:val="en-GB"/>
        </w:rPr>
      </w:pPr>
    </w:p>
    <w:sectPr w:rsidR="005E02AB" w:rsidRPr="00E3520F"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B7665" w14:textId="77777777" w:rsidR="001E0DDA" w:rsidRDefault="001E0DDA" w:rsidP="00647A4F">
      <w:pPr>
        <w:spacing w:after="240"/>
      </w:pPr>
      <w:r>
        <w:separator/>
      </w:r>
    </w:p>
    <w:p w14:paraId="69CB7666" w14:textId="77777777" w:rsidR="001E0DDA" w:rsidRDefault="001E0DDA" w:rsidP="00647A4F">
      <w:pPr>
        <w:spacing w:after="240"/>
      </w:pPr>
    </w:p>
  </w:endnote>
  <w:endnote w:type="continuationSeparator" w:id="0">
    <w:p w14:paraId="69CB7667" w14:textId="77777777" w:rsidR="001E0DDA" w:rsidRDefault="001E0DDA" w:rsidP="00647A4F">
      <w:pPr>
        <w:spacing w:after="240"/>
      </w:pPr>
      <w:r>
        <w:continuationSeparator/>
      </w:r>
    </w:p>
    <w:p w14:paraId="69CB7668" w14:textId="77777777" w:rsidR="001E0DDA" w:rsidRDefault="001E0DD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B" w14:textId="77777777" w:rsidR="000D1507" w:rsidRDefault="000D1507">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C" w14:textId="4384494C" w:rsidR="000D1507" w:rsidRPr="00F82B5C" w:rsidRDefault="00D3198C" w:rsidP="00D3198C">
    <w:pPr>
      <w:pStyle w:val="Fuzeile"/>
      <w:spacing w:after="240"/>
    </w:pPr>
    <w:r>
      <w:t>Koenig &amp; Bauer is targeting group revenue of around €1.5bn with EBIT margin of between 7% and 10% until 2023</w:t>
    </w:r>
    <w:r w:rsidR="001E0DDA">
      <w:rPr>
        <w:lang w:val="en-US"/>
      </w:rPr>
      <w:t xml:space="preserve">| </w:t>
    </w:r>
    <w:r w:rsidR="001E0DDA">
      <w:rPr>
        <w:lang w:val="en-US"/>
      </w:rPr>
      <w:fldChar w:fldCharType="begin"/>
    </w:r>
    <w:r w:rsidR="001E0DDA">
      <w:rPr>
        <w:lang w:val="en-US"/>
      </w:rPr>
      <w:instrText xml:space="preserve"> PAGE </w:instrText>
    </w:r>
    <w:r w:rsidR="001E0DDA">
      <w:rPr>
        <w:lang w:val="en-US"/>
      </w:rPr>
      <w:fldChar w:fldCharType="separate"/>
    </w:r>
    <w:r>
      <w:rPr>
        <w:lang w:val="en-US"/>
      </w:rPr>
      <w:t>1</w:t>
    </w:r>
    <w:r w:rsidR="001E0DDA">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E" w14:textId="12DCD2E0" w:rsidR="000D1507" w:rsidRDefault="00D3198C"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9A7D7D">
          <w:t>Presseinformation</w:t>
        </w:r>
      </w:sdtContent>
    </w:sdt>
    <w:r w:rsidR="001E0DDA">
      <w:rPr>
        <w:lang w:val="en-US"/>
      </w:rPr>
      <w:t xml:space="preserve"> | </w:t>
    </w:r>
    <w:r w:rsidR="001E0DDA">
      <w:rPr>
        <w:lang w:val="en-US"/>
      </w:rPr>
      <w:fldChar w:fldCharType="begin"/>
    </w:r>
    <w:r w:rsidR="001E0DDA">
      <w:rPr>
        <w:lang w:val="en-US"/>
      </w:rPr>
      <w:instrText xml:space="preserve"> PAGE </w:instrText>
    </w:r>
    <w:r w:rsidR="001E0DDA">
      <w:rPr>
        <w:lang w:val="en-US"/>
      </w:rPr>
      <w:fldChar w:fldCharType="separate"/>
    </w:r>
    <w:r w:rsidR="001E0DDA">
      <w:rPr>
        <w:lang w:val="en-US"/>
      </w:rPr>
      <w:t>1</w:t>
    </w:r>
    <w:r w:rsidR="001E0DDA">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B7662" w14:textId="77777777" w:rsidR="001E0DDA" w:rsidRDefault="001E0DDA" w:rsidP="00647A4F">
      <w:pPr>
        <w:spacing w:after="240"/>
      </w:pPr>
      <w:r>
        <w:separator/>
      </w:r>
    </w:p>
  </w:footnote>
  <w:footnote w:type="continuationSeparator" w:id="0">
    <w:p w14:paraId="69CB7663" w14:textId="77777777" w:rsidR="001E0DDA" w:rsidRDefault="001E0DDA" w:rsidP="00647A4F">
      <w:pPr>
        <w:spacing w:after="240"/>
      </w:pPr>
      <w:r>
        <w:continuationSeparator/>
      </w:r>
    </w:p>
    <w:p w14:paraId="69CB7664" w14:textId="77777777" w:rsidR="001E0DDA" w:rsidRDefault="001E0DD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9" w14:textId="77777777" w:rsidR="000D1507" w:rsidRDefault="000D1507"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A" w14:textId="77777777" w:rsidR="000D1507" w:rsidRDefault="000D1507" w:rsidP="00647A4F">
    <w:pPr>
      <w:pStyle w:val="Kopfzeile"/>
      <w:spacing w:after="240"/>
    </w:pPr>
    <w:r>
      <w:rPr>
        <w:noProof/>
        <w:lang w:eastAsia="de-DE"/>
      </w:rPr>
      <w:drawing>
        <wp:anchor distT="0" distB="0" distL="114300" distR="114300" simplePos="0" relativeHeight="251664384" behindDoc="0" locked="1" layoutInCell="1" allowOverlap="1" wp14:anchorId="69CB766F" wp14:editId="69CB7670">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766D" w14:textId="77777777" w:rsidR="000D1507" w:rsidRPr="000B7CEC" w:rsidRDefault="000D1507" w:rsidP="00647A4F">
    <w:pPr>
      <w:pStyle w:val="Kopfzeile"/>
      <w:spacing w:after="240"/>
    </w:pPr>
    <w:r>
      <w:rPr>
        <w:noProof/>
        <w:lang w:eastAsia="de-DE"/>
      </w:rPr>
      <w:drawing>
        <wp:anchor distT="0" distB="0" distL="114300" distR="114300" simplePos="0" relativeHeight="251662336" behindDoc="0" locked="0" layoutInCell="1" allowOverlap="1" wp14:anchorId="69CB7671" wp14:editId="69CB767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56DD2CEA"/>
    <w:multiLevelType w:val="hybridMultilevel"/>
    <w:tmpl w:val="9B208468"/>
    <w:lvl w:ilvl="0" w:tplc="232C9224">
      <w:start w:val="1"/>
      <w:numFmt w:val="bullet"/>
      <w:lvlText w:val="•"/>
      <w:lvlJc w:val="left"/>
      <w:pPr>
        <w:tabs>
          <w:tab w:val="num" w:pos="720"/>
        </w:tabs>
        <w:ind w:left="720" w:hanging="360"/>
      </w:pPr>
      <w:rPr>
        <w:rFonts w:ascii="Arial" w:hAnsi="Arial" w:hint="default"/>
      </w:rPr>
    </w:lvl>
    <w:lvl w:ilvl="1" w:tplc="19C29EF2" w:tentative="1">
      <w:start w:val="1"/>
      <w:numFmt w:val="bullet"/>
      <w:lvlText w:val="•"/>
      <w:lvlJc w:val="left"/>
      <w:pPr>
        <w:tabs>
          <w:tab w:val="num" w:pos="1440"/>
        </w:tabs>
        <w:ind w:left="1440" w:hanging="360"/>
      </w:pPr>
      <w:rPr>
        <w:rFonts w:ascii="Arial" w:hAnsi="Arial" w:hint="default"/>
      </w:rPr>
    </w:lvl>
    <w:lvl w:ilvl="2" w:tplc="506C966E" w:tentative="1">
      <w:start w:val="1"/>
      <w:numFmt w:val="bullet"/>
      <w:lvlText w:val="•"/>
      <w:lvlJc w:val="left"/>
      <w:pPr>
        <w:tabs>
          <w:tab w:val="num" w:pos="2160"/>
        </w:tabs>
        <w:ind w:left="2160" w:hanging="360"/>
      </w:pPr>
      <w:rPr>
        <w:rFonts w:ascii="Arial" w:hAnsi="Arial" w:hint="default"/>
      </w:rPr>
    </w:lvl>
    <w:lvl w:ilvl="3" w:tplc="5FD6023C" w:tentative="1">
      <w:start w:val="1"/>
      <w:numFmt w:val="bullet"/>
      <w:lvlText w:val="•"/>
      <w:lvlJc w:val="left"/>
      <w:pPr>
        <w:tabs>
          <w:tab w:val="num" w:pos="2880"/>
        </w:tabs>
        <w:ind w:left="2880" w:hanging="360"/>
      </w:pPr>
      <w:rPr>
        <w:rFonts w:ascii="Arial" w:hAnsi="Arial" w:hint="default"/>
      </w:rPr>
    </w:lvl>
    <w:lvl w:ilvl="4" w:tplc="F03A8A86" w:tentative="1">
      <w:start w:val="1"/>
      <w:numFmt w:val="bullet"/>
      <w:lvlText w:val="•"/>
      <w:lvlJc w:val="left"/>
      <w:pPr>
        <w:tabs>
          <w:tab w:val="num" w:pos="3600"/>
        </w:tabs>
        <w:ind w:left="3600" w:hanging="360"/>
      </w:pPr>
      <w:rPr>
        <w:rFonts w:ascii="Arial" w:hAnsi="Arial" w:hint="default"/>
      </w:rPr>
    </w:lvl>
    <w:lvl w:ilvl="5" w:tplc="96B07F06" w:tentative="1">
      <w:start w:val="1"/>
      <w:numFmt w:val="bullet"/>
      <w:lvlText w:val="•"/>
      <w:lvlJc w:val="left"/>
      <w:pPr>
        <w:tabs>
          <w:tab w:val="num" w:pos="4320"/>
        </w:tabs>
        <w:ind w:left="4320" w:hanging="360"/>
      </w:pPr>
      <w:rPr>
        <w:rFonts w:ascii="Arial" w:hAnsi="Arial" w:hint="default"/>
      </w:rPr>
    </w:lvl>
    <w:lvl w:ilvl="6" w:tplc="9CA88A72" w:tentative="1">
      <w:start w:val="1"/>
      <w:numFmt w:val="bullet"/>
      <w:lvlText w:val="•"/>
      <w:lvlJc w:val="left"/>
      <w:pPr>
        <w:tabs>
          <w:tab w:val="num" w:pos="5040"/>
        </w:tabs>
        <w:ind w:left="5040" w:hanging="360"/>
      </w:pPr>
      <w:rPr>
        <w:rFonts w:ascii="Arial" w:hAnsi="Arial" w:hint="default"/>
      </w:rPr>
    </w:lvl>
    <w:lvl w:ilvl="7" w:tplc="A680F37C" w:tentative="1">
      <w:start w:val="1"/>
      <w:numFmt w:val="bullet"/>
      <w:lvlText w:val="•"/>
      <w:lvlJc w:val="left"/>
      <w:pPr>
        <w:tabs>
          <w:tab w:val="num" w:pos="5760"/>
        </w:tabs>
        <w:ind w:left="5760" w:hanging="360"/>
      </w:pPr>
      <w:rPr>
        <w:rFonts w:ascii="Arial" w:hAnsi="Arial" w:hint="default"/>
      </w:rPr>
    </w:lvl>
    <w:lvl w:ilvl="8" w:tplc="84B6BE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06489"/>
    <w:rsid w:val="00051F1D"/>
    <w:rsid w:val="00056DB6"/>
    <w:rsid w:val="000706A2"/>
    <w:rsid w:val="000A70ED"/>
    <w:rsid w:val="000B7CEC"/>
    <w:rsid w:val="000C49F7"/>
    <w:rsid w:val="000C511A"/>
    <w:rsid w:val="000C534C"/>
    <w:rsid w:val="000D1507"/>
    <w:rsid w:val="000E431A"/>
    <w:rsid w:val="00116A26"/>
    <w:rsid w:val="00133BCF"/>
    <w:rsid w:val="00163241"/>
    <w:rsid w:val="0016411F"/>
    <w:rsid w:val="0016774E"/>
    <w:rsid w:val="001B5BAA"/>
    <w:rsid w:val="001B747C"/>
    <w:rsid w:val="001C394D"/>
    <w:rsid w:val="001E0DDA"/>
    <w:rsid w:val="001E5ABB"/>
    <w:rsid w:val="001F5D76"/>
    <w:rsid w:val="00204EAE"/>
    <w:rsid w:val="0021638F"/>
    <w:rsid w:val="0022027F"/>
    <w:rsid w:val="00262470"/>
    <w:rsid w:val="00265400"/>
    <w:rsid w:val="0027081D"/>
    <w:rsid w:val="00282128"/>
    <w:rsid w:val="002A5D4F"/>
    <w:rsid w:val="002B77B3"/>
    <w:rsid w:val="002C05E4"/>
    <w:rsid w:val="002C66C1"/>
    <w:rsid w:val="002E1AB6"/>
    <w:rsid w:val="002E3557"/>
    <w:rsid w:val="00356744"/>
    <w:rsid w:val="00382047"/>
    <w:rsid w:val="003A0BCE"/>
    <w:rsid w:val="003B7A63"/>
    <w:rsid w:val="003D1D5D"/>
    <w:rsid w:val="003F79E8"/>
    <w:rsid w:val="00413B84"/>
    <w:rsid w:val="0041506E"/>
    <w:rsid w:val="004158D7"/>
    <w:rsid w:val="0042747F"/>
    <w:rsid w:val="00432025"/>
    <w:rsid w:val="00432594"/>
    <w:rsid w:val="00451F82"/>
    <w:rsid w:val="00453792"/>
    <w:rsid w:val="004628E4"/>
    <w:rsid w:val="004676E1"/>
    <w:rsid w:val="00470F72"/>
    <w:rsid w:val="004B1583"/>
    <w:rsid w:val="004B210E"/>
    <w:rsid w:val="004B5DBB"/>
    <w:rsid w:val="004E33CC"/>
    <w:rsid w:val="004E6239"/>
    <w:rsid w:val="00522321"/>
    <w:rsid w:val="00524C68"/>
    <w:rsid w:val="00533745"/>
    <w:rsid w:val="005404BD"/>
    <w:rsid w:val="0055123F"/>
    <w:rsid w:val="00563C4E"/>
    <w:rsid w:val="0057450D"/>
    <w:rsid w:val="00581FA3"/>
    <w:rsid w:val="00584EAD"/>
    <w:rsid w:val="005865F5"/>
    <w:rsid w:val="005A1925"/>
    <w:rsid w:val="005A281B"/>
    <w:rsid w:val="005B1FCC"/>
    <w:rsid w:val="005E02AB"/>
    <w:rsid w:val="005E1ABB"/>
    <w:rsid w:val="005E5705"/>
    <w:rsid w:val="005F3C60"/>
    <w:rsid w:val="00614D7E"/>
    <w:rsid w:val="0063340E"/>
    <w:rsid w:val="00647A4F"/>
    <w:rsid w:val="00673988"/>
    <w:rsid w:val="00677B21"/>
    <w:rsid w:val="00697DB1"/>
    <w:rsid w:val="006B2D44"/>
    <w:rsid w:val="00702235"/>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49F6"/>
    <w:rsid w:val="00866F90"/>
    <w:rsid w:val="008A14C6"/>
    <w:rsid w:val="008C2BC0"/>
    <w:rsid w:val="008C5FFE"/>
    <w:rsid w:val="009229D0"/>
    <w:rsid w:val="00930388"/>
    <w:rsid w:val="00953661"/>
    <w:rsid w:val="009870F4"/>
    <w:rsid w:val="009A7D7D"/>
    <w:rsid w:val="009B0313"/>
    <w:rsid w:val="009B10BB"/>
    <w:rsid w:val="009E29CD"/>
    <w:rsid w:val="009E7CEF"/>
    <w:rsid w:val="00A10D03"/>
    <w:rsid w:val="00A112E7"/>
    <w:rsid w:val="00A15594"/>
    <w:rsid w:val="00A15613"/>
    <w:rsid w:val="00A207E9"/>
    <w:rsid w:val="00A241F4"/>
    <w:rsid w:val="00A330C0"/>
    <w:rsid w:val="00A37572"/>
    <w:rsid w:val="00A44634"/>
    <w:rsid w:val="00A561D4"/>
    <w:rsid w:val="00A601FE"/>
    <w:rsid w:val="00A60D90"/>
    <w:rsid w:val="00A669E1"/>
    <w:rsid w:val="00A759B5"/>
    <w:rsid w:val="00A77974"/>
    <w:rsid w:val="00A86E07"/>
    <w:rsid w:val="00A94015"/>
    <w:rsid w:val="00A95799"/>
    <w:rsid w:val="00AA6529"/>
    <w:rsid w:val="00AF4C5F"/>
    <w:rsid w:val="00B03620"/>
    <w:rsid w:val="00B06C8C"/>
    <w:rsid w:val="00B51FA3"/>
    <w:rsid w:val="00B622F0"/>
    <w:rsid w:val="00B66B5F"/>
    <w:rsid w:val="00BA3329"/>
    <w:rsid w:val="00BC4F56"/>
    <w:rsid w:val="00BD3D8B"/>
    <w:rsid w:val="00BD5E81"/>
    <w:rsid w:val="00BE571B"/>
    <w:rsid w:val="00BF6AC1"/>
    <w:rsid w:val="00C275C9"/>
    <w:rsid w:val="00C66DA1"/>
    <w:rsid w:val="00C97C18"/>
    <w:rsid w:val="00CA42A2"/>
    <w:rsid w:val="00CD0A11"/>
    <w:rsid w:val="00CE7598"/>
    <w:rsid w:val="00D23C2E"/>
    <w:rsid w:val="00D3198C"/>
    <w:rsid w:val="00D37C08"/>
    <w:rsid w:val="00D430A8"/>
    <w:rsid w:val="00D51D4F"/>
    <w:rsid w:val="00D52424"/>
    <w:rsid w:val="00D66283"/>
    <w:rsid w:val="00D70659"/>
    <w:rsid w:val="00D87652"/>
    <w:rsid w:val="00D95359"/>
    <w:rsid w:val="00DA7970"/>
    <w:rsid w:val="00DC7376"/>
    <w:rsid w:val="00DD406D"/>
    <w:rsid w:val="00DF560B"/>
    <w:rsid w:val="00E1738C"/>
    <w:rsid w:val="00E30EBC"/>
    <w:rsid w:val="00E3520F"/>
    <w:rsid w:val="00E648E6"/>
    <w:rsid w:val="00E75308"/>
    <w:rsid w:val="00E7632B"/>
    <w:rsid w:val="00E83C12"/>
    <w:rsid w:val="00E9379C"/>
    <w:rsid w:val="00EA1A60"/>
    <w:rsid w:val="00EC73CA"/>
    <w:rsid w:val="00ED4D27"/>
    <w:rsid w:val="00F01893"/>
    <w:rsid w:val="00F43164"/>
    <w:rsid w:val="00F5748A"/>
    <w:rsid w:val="00F63846"/>
    <w:rsid w:val="00F71860"/>
    <w:rsid w:val="00F82B5C"/>
    <w:rsid w:val="00F84F59"/>
    <w:rsid w:val="00FA2046"/>
    <w:rsid w:val="00FB2E09"/>
    <w:rsid w:val="00FB38C5"/>
    <w:rsid w:val="00FB7156"/>
    <w:rsid w:val="00FC73CA"/>
    <w:rsid w:val="00FE03A2"/>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CB763E"/>
  <w15:docId w15:val="{D480715C-7549-4CEA-8F47-BC395D8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3"/>
    <w:lsdException w:name="FollowedHyperlink" w:semiHidden="1" w:unhideWhenUsed="1"/>
    <w:lsdException w:name="Strong"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5E02AB"/>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5E02AB"/>
    <w:rPr>
      <w:rFonts w:cs="Times New Roman"/>
      <w:i/>
      <w:iCs/>
      <w:color w:val="auto"/>
    </w:rPr>
  </w:style>
  <w:style w:type="character" w:styleId="Hervorhebung">
    <w:name w:val="Emphasis"/>
    <w:uiPriority w:val="11"/>
    <w:qFormat/>
    <w:rsid w:val="005E02AB"/>
    <w:rPr>
      <w:rFonts w:ascii="Arial" w:hAnsi="Arial" w:cs="Times New Roman"/>
      <w:b/>
      <w:iCs/>
      <w:sz w:val="20"/>
    </w:rPr>
  </w:style>
  <w:style w:type="table" w:customStyle="1" w:styleId="KBTabelle">
    <w:name w:val="K&amp;B_Tabelle"/>
    <w:basedOn w:val="NormaleTabelle"/>
    <w:uiPriority w:val="99"/>
    <w:rsid w:val="005E02AB"/>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kopf">
    <w:name w:val="Tabellenkopf"/>
    <w:basedOn w:val="FlietextStandard"/>
    <w:link w:val="TabellenkopfZchn"/>
    <w:uiPriority w:val="19"/>
    <w:qFormat/>
    <w:rsid w:val="005E02AB"/>
    <w:pPr>
      <w:spacing w:after="0"/>
    </w:pPr>
    <w:rPr>
      <w:b/>
      <w:color w:val="002355"/>
    </w:rPr>
  </w:style>
  <w:style w:type="character" w:customStyle="1" w:styleId="FlietextStandardZchn">
    <w:name w:val="Fließtext Standard Zchn"/>
    <w:link w:val="FlietextStandard"/>
    <w:uiPriority w:val="10"/>
    <w:locked/>
    <w:rsid w:val="005E02AB"/>
    <w:rPr>
      <w:rFonts w:ascii="Arial" w:eastAsia="Times New Roman" w:hAnsi="Arial" w:cs="Times New Roman"/>
      <w:color w:val="0A0A0A"/>
      <w:sz w:val="20"/>
      <w:szCs w:val="20"/>
    </w:rPr>
  </w:style>
  <w:style w:type="character" w:customStyle="1" w:styleId="TabellenkopfZchn">
    <w:name w:val="Tabellenkopf Zchn"/>
    <w:link w:val="Tabellenkopf"/>
    <w:uiPriority w:val="19"/>
    <w:locked/>
    <w:rsid w:val="005E02AB"/>
    <w:rPr>
      <w:rFonts w:ascii="Arial" w:eastAsia="Times New Roman" w:hAnsi="Arial" w:cs="Times New Roman"/>
      <w:b/>
      <w:color w:val="00235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9909">
      <w:bodyDiv w:val="1"/>
      <w:marLeft w:val="0"/>
      <w:marRight w:val="0"/>
      <w:marTop w:val="0"/>
      <w:marBottom w:val="0"/>
      <w:divBdr>
        <w:top w:val="none" w:sz="0" w:space="0" w:color="auto"/>
        <w:left w:val="none" w:sz="0" w:space="0" w:color="auto"/>
        <w:bottom w:val="none" w:sz="0" w:space="0" w:color="auto"/>
        <w:right w:val="none" w:sz="0" w:space="0" w:color="auto"/>
      </w:divBdr>
      <w:divsChild>
        <w:div w:id="1094398358">
          <w:marLeft w:val="360"/>
          <w:marRight w:val="0"/>
          <w:marTop w:val="240"/>
          <w:marBottom w:val="240"/>
          <w:divBdr>
            <w:top w:val="none" w:sz="0" w:space="0" w:color="auto"/>
            <w:left w:val="none" w:sz="0" w:space="0" w:color="auto"/>
            <w:bottom w:val="none" w:sz="0" w:space="0" w:color="auto"/>
            <w:right w:val="none" w:sz="0" w:space="0" w:color="auto"/>
          </w:divBdr>
        </w:div>
      </w:divsChild>
    </w:div>
    <w:div w:id="20238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96A2-D6CC-4C5A-A132-7B923EA6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5</Pages>
  <Words>1693</Words>
  <Characters>10673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Bausenwein, Linda (ZM)</dc:creator>
  <dc:description>Optimiert für Word 2016</dc:description>
  <cp:lastModifiedBy>Bausenwein, Linda (ZM)</cp:lastModifiedBy>
  <cp:revision>15</cp:revision>
  <dcterms:created xsi:type="dcterms:W3CDTF">2019-03-17T11:48:00Z</dcterms:created>
  <dcterms:modified xsi:type="dcterms:W3CDTF">2019-03-20T08:28:00Z</dcterms:modified>
</cp:coreProperties>
</file>